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4B5CE" w14:textId="65406D87" w:rsidR="007A0870" w:rsidRPr="003324E8" w:rsidRDefault="006769C7" w:rsidP="00131D2F">
      <w:pPr>
        <w:pStyle w:val="a3"/>
        <w:spacing w:beforeLines="20" w:before="72" w:afterLines="50" w:after="180" w:line="440" w:lineRule="exact"/>
        <w:ind w:leftChars="0" w:left="0"/>
        <w:jc w:val="center"/>
        <w:rPr>
          <w:rFonts w:ascii="標楷體" w:eastAsia="標楷體" w:hAnsi="標楷體"/>
          <w:bCs/>
          <w:sz w:val="32"/>
          <w:szCs w:val="28"/>
          <w:u w:val="single"/>
        </w:rPr>
      </w:pPr>
      <w:r w:rsidRPr="003324E8">
        <w:rPr>
          <w:rFonts w:ascii="標楷體" w:eastAsia="標楷體" w:hAnsi="標楷體" w:hint="eastAsia"/>
          <w:bCs/>
          <w:sz w:val="32"/>
          <w:szCs w:val="28"/>
          <w:u w:val="single"/>
        </w:rPr>
        <w:t>內政部</w:t>
      </w:r>
      <w:r w:rsidR="003324E8">
        <w:rPr>
          <w:rFonts w:ascii="標楷體" w:eastAsia="標楷體" w:hAnsi="標楷體" w:hint="eastAsia"/>
          <w:bCs/>
          <w:sz w:val="32"/>
          <w:szCs w:val="28"/>
          <w:u w:val="single"/>
        </w:rPr>
        <w:t>廣徵程序人才，</w:t>
      </w:r>
      <w:r w:rsidRPr="003324E8">
        <w:rPr>
          <w:rFonts w:ascii="標楷體" w:eastAsia="標楷體" w:hAnsi="標楷體" w:hint="eastAsia"/>
          <w:bCs/>
          <w:sz w:val="32"/>
          <w:szCs w:val="28"/>
          <w:u w:val="single"/>
        </w:rPr>
        <w:t>遴選聽證主持人</w:t>
      </w:r>
    </w:p>
    <w:p w14:paraId="39651473" w14:textId="661B1664" w:rsidR="00050794" w:rsidRPr="003324E8" w:rsidRDefault="003324E8" w:rsidP="002B01E5">
      <w:pPr>
        <w:pStyle w:val="a3"/>
        <w:numPr>
          <w:ilvl w:val="0"/>
          <w:numId w:val="6"/>
        </w:numPr>
        <w:spacing w:beforeLines="20" w:before="72" w:afterLines="50" w:after="18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聽證主持人扮演聽證的關鍵角色</w:t>
      </w:r>
    </w:p>
    <w:p w14:paraId="1728B33E" w14:textId="432C6470" w:rsidR="005E067E" w:rsidRPr="003324E8" w:rsidRDefault="005E067E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內政部業務中都市計畫、土地徵收、都市更新等均涉及各種公共利益權衡與人民權益的影響。決策程序的設計如何能反映決策理性的提升與社會團體的期待，一直是</w:t>
      </w:r>
      <w:r w:rsidR="008C69DD" w:rsidRPr="003324E8">
        <w:rPr>
          <w:rFonts w:ascii="標楷體" w:eastAsia="標楷體" w:hAnsi="標楷體" w:hint="eastAsia"/>
          <w:sz w:val="28"/>
          <w:szCs w:val="28"/>
        </w:rPr>
        <w:t>內政</w:t>
      </w:r>
      <w:r w:rsidRPr="003324E8">
        <w:rPr>
          <w:rFonts w:ascii="標楷體" w:eastAsia="標楷體" w:hAnsi="標楷體" w:hint="eastAsia"/>
          <w:sz w:val="28"/>
          <w:szCs w:val="28"/>
        </w:rPr>
        <w:t>部的重大課題。在各種程序機制中，聽證制度的建立，</w:t>
      </w:r>
      <w:r w:rsidR="002772A7" w:rsidRPr="003324E8">
        <w:rPr>
          <w:rFonts w:ascii="標楷體" w:eastAsia="標楷體" w:hAnsi="標楷體" w:hint="eastAsia"/>
          <w:sz w:val="28"/>
          <w:szCs w:val="28"/>
        </w:rPr>
        <w:t>對釐清決策爭點，強化決策基礎事實、與科學基礎，以及增加審議對話，扮</w:t>
      </w:r>
      <w:r w:rsidRPr="003324E8">
        <w:rPr>
          <w:rFonts w:ascii="標楷體" w:eastAsia="標楷體" w:hAnsi="標楷體" w:hint="eastAsia"/>
          <w:sz w:val="28"/>
          <w:szCs w:val="28"/>
        </w:rPr>
        <w:t>演關鍵</w:t>
      </w:r>
      <w:r w:rsidR="00866C8D" w:rsidRPr="003324E8">
        <w:rPr>
          <w:rFonts w:ascii="標楷體" w:eastAsia="標楷體" w:hAnsi="標楷體" w:hint="eastAsia"/>
          <w:sz w:val="28"/>
          <w:szCs w:val="28"/>
        </w:rPr>
        <w:t>性的</w:t>
      </w:r>
      <w:r w:rsidRPr="003324E8">
        <w:rPr>
          <w:rFonts w:ascii="標楷體" w:eastAsia="標楷體" w:hAnsi="標楷體" w:hint="eastAsia"/>
          <w:sz w:val="28"/>
          <w:szCs w:val="28"/>
        </w:rPr>
        <w:t>角色。</w:t>
      </w:r>
    </w:p>
    <w:p w14:paraId="062F8A3A" w14:textId="77777777" w:rsidR="00866C8D" w:rsidRPr="003324E8" w:rsidRDefault="00866C8D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對於聽證的實施，各</w:t>
      </w:r>
      <w:r w:rsidR="00DC672F" w:rsidRPr="003324E8">
        <w:rPr>
          <w:rFonts w:ascii="標楷體" w:eastAsia="標楷體" w:hAnsi="標楷體" w:hint="eastAsia"/>
          <w:sz w:val="28"/>
          <w:szCs w:val="28"/>
        </w:rPr>
        <w:t>部</w:t>
      </w:r>
      <w:r w:rsidRPr="003324E8">
        <w:rPr>
          <w:rFonts w:ascii="標楷體" w:eastAsia="標楷體" w:hAnsi="標楷體" w:hint="eastAsia"/>
          <w:sz w:val="28"/>
          <w:szCs w:val="28"/>
        </w:rPr>
        <w:t>會</w:t>
      </w:r>
      <w:r w:rsidR="00DC672F" w:rsidRPr="003324E8">
        <w:rPr>
          <w:rFonts w:ascii="標楷體" w:eastAsia="標楷體" w:hAnsi="標楷體" w:hint="eastAsia"/>
          <w:sz w:val="28"/>
          <w:szCs w:val="28"/>
        </w:rPr>
        <w:t>曾有零星的嘗試，然而</w:t>
      </w:r>
      <w:r w:rsidRPr="003324E8">
        <w:rPr>
          <w:rFonts w:ascii="標楷體" w:eastAsia="標楷體" w:hAnsi="標楷體" w:hint="eastAsia"/>
          <w:sz w:val="28"/>
          <w:szCs w:val="28"/>
        </w:rPr>
        <w:t>政府內部</w:t>
      </w:r>
      <w:r w:rsidR="00DC672F" w:rsidRPr="003324E8">
        <w:rPr>
          <w:rFonts w:ascii="標楷體" w:eastAsia="標楷體" w:hAnsi="標楷體" w:hint="eastAsia"/>
          <w:sz w:val="28"/>
          <w:szCs w:val="28"/>
        </w:rPr>
        <w:t>整體</w:t>
      </w:r>
      <w:r w:rsidR="00C3418A" w:rsidRPr="003324E8">
        <w:rPr>
          <w:rFonts w:ascii="標楷體" w:eastAsia="標楷體" w:hAnsi="標楷體" w:hint="eastAsia"/>
          <w:sz w:val="28"/>
          <w:szCs w:val="28"/>
        </w:rPr>
        <w:t>聽證</w:t>
      </w:r>
      <w:r w:rsidR="00DC672F" w:rsidRPr="003324E8">
        <w:rPr>
          <w:rFonts w:ascii="標楷體" w:eastAsia="標楷體" w:hAnsi="標楷體" w:hint="eastAsia"/>
          <w:sz w:val="28"/>
          <w:szCs w:val="28"/>
        </w:rPr>
        <w:t>制度的建構</w:t>
      </w:r>
      <w:r w:rsidR="00C3418A" w:rsidRPr="003324E8">
        <w:rPr>
          <w:rFonts w:ascii="標楷體" w:eastAsia="標楷體" w:hAnsi="標楷體" w:hint="eastAsia"/>
          <w:sz w:val="28"/>
          <w:szCs w:val="28"/>
        </w:rPr>
        <w:t>仍欠缺經驗，</w:t>
      </w:r>
      <w:r w:rsidR="00DC672F" w:rsidRPr="003324E8">
        <w:rPr>
          <w:rFonts w:ascii="標楷體" w:eastAsia="標楷體" w:hAnsi="標楷體" w:hint="eastAsia"/>
          <w:sz w:val="28"/>
          <w:szCs w:val="28"/>
        </w:rPr>
        <w:t>有待量能建構。</w:t>
      </w:r>
      <w:r w:rsidR="00FB6587" w:rsidRPr="003324E8">
        <w:rPr>
          <w:rFonts w:ascii="標楷體" w:eastAsia="標楷體" w:hAnsi="標楷體" w:hint="eastAsia"/>
          <w:sz w:val="28"/>
          <w:szCs w:val="28"/>
        </w:rPr>
        <w:t>其中</w:t>
      </w:r>
      <w:r w:rsidRPr="003324E8">
        <w:rPr>
          <w:rFonts w:ascii="標楷體" w:eastAsia="標楷體" w:hAnsi="標楷體" w:hint="eastAsia"/>
          <w:sz w:val="28"/>
          <w:szCs w:val="28"/>
        </w:rPr>
        <w:t>，</w:t>
      </w:r>
      <w:r w:rsidR="00FB6587" w:rsidRPr="003324E8">
        <w:rPr>
          <w:rFonts w:ascii="標楷體" w:eastAsia="標楷體" w:hAnsi="標楷體" w:hint="eastAsia"/>
          <w:sz w:val="28"/>
          <w:szCs w:val="28"/>
        </w:rPr>
        <w:t>聽證主持人的建置，</w:t>
      </w:r>
      <w:r w:rsidR="00C35134" w:rsidRPr="003324E8">
        <w:rPr>
          <w:rFonts w:ascii="標楷體" w:eastAsia="標楷體" w:hAnsi="標楷體" w:hint="eastAsia"/>
          <w:sz w:val="28"/>
          <w:szCs w:val="28"/>
        </w:rPr>
        <w:t>更是成功與否的關鍵。</w:t>
      </w:r>
    </w:p>
    <w:p w14:paraId="297EBFEF" w14:textId="68D67FCD" w:rsidR="00C35134" w:rsidRPr="003324E8" w:rsidRDefault="00623C05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聽證程序的核心功能在於透過嚴格的程序設計，以保障人民權利。</w:t>
      </w:r>
      <w:r w:rsidR="002B01E5" w:rsidRPr="003324E8">
        <w:rPr>
          <w:rFonts w:ascii="標楷體" w:eastAsia="標楷體" w:hAnsi="標楷體" w:hint="eastAsia"/>
          <w:sz w:val="28"/>
          <w:szCs w:val="28"/>
        </w:rPr>
        <w:t>聽證是強化決策理性的重要機制，尤其</w:t>
      </w:r>
      <w:r w:rsidR="0094242C" w:rsidRPr="003324E8">
        <w:rPr>
          <w:rFonts w:ascii="標楷體" w:eastAsia="標楷體" w:hAnsi="標楷體" w:hint="eastAsia"/>
          <w:sz w:val="28"/>
          <w:szCs w:val="28"/>
        </w:rPr>
        <w:t>重視雙方</w:t>
      </w:r>
      <w:r w:rsidR="009B7BE2" w:rsidRPr="003324E8">
        <w:rPr>
          <w:rFonts w:ascii="標楷體" w:eastAsia="標楷體" w:hAnsi="標楷體" w:hint="eastAsia"/>
          <w:sz w:val="28"/>
          <w:szCs w:val="28"/>
        </w:rPr>
        <w:t>論點</w:t>
      </w:r>
      <w:r w:rsidR="008B7525" w:rsidRPr="003324E8">
        <w:rPr>
          <w:rFonts w:ascii="標楷體" w:eastAsia="標楷體" w:hAnsi="標楷體" w:hint="eastAsia"/>
          <w:sz w:val="28"/>
          <w:szCs w:val="28"/>
        </w:rPr>
        <w:t>呈現，並從公正程序的論辯中，盡量釐清爭點</w:t>
      </w:r>
      <w:r w:rsidR="009B7BE2" w:rsidRPr="003324E8">
        <w:rPr>
          <w:rFonts w:ascii="標楷體" w:eastAsia="標楷體" w:hAnsi="標楷體" w:hint="eastAsia"/>
          <w:sz w:val="28"/>
          <w:szCs w:val="28"/>
        </w:rPr>
        <w:t>，以</w:t>
      </w:r>
      <w:r w:rsidR="00A36B87" w:rsidRPr="003324E8">
        <w:rPr>
          <w:rFonts w:ascii="標楷體" w:eastAsia="標楷體" w:hAnsi="標楷體" w:hint="eastAsia"/>
          <w:sz w:val="28"/>
          <w:szCs w:val="28"/>
        </w:rPr>
        <w:t>作成正確決策。</w:t>
      </w:r>
      <w:r w:rsidR="008B7525" w:rsidRPr="003324E8">
        <w:rPr>
          <w:rFonts w:ascii="標楷體" w:eastAsia="標楷體" w:hAnsi="標楷體" w:hint="eastAsia"/>
          <w:sz w:val="28"/>
          <w:szCs w:val="28"/>
        </w:rPr>
        <w:t>聽證程序的嚴格性、要式性及公平性能否貫徹並得到各方的信賴，</w:t>
      </w:r>
      <w:r w:rsidR="002208E8" w:rsidRPr="003324E8">
        <w:rPr>
          <w:rFonts w:ascii="標楷體" w:eastAsia="標楷體" w:hAnsi="標楷體" w:hint="eastAsia"/>
          <w:sz w:val="28"/>
          <w:szCs w:val="28"/>
        </w:rPr>
        <w:t>必須建立在公平參與、及實質有效參與的基礎上。</w:t>
      </w:r>
      <w:r w:rsidR="00181C51" w:rsidRPr="003324E8">
        <w:rPr>
          <w:rFonts w:ascii="標楷體" w:eastAsia="標楷體" w:hAnsi="標楷體" w:hint="eastAsia"/>
          <w:sz w:val="28"/>
          <w:szCs w:val="28"/>
        </w:rPr>
        <w:t>而</w:t>
      </w:r>
      <w:r w:rsidR="005C4FB9" w:rsidRPr="003324E8">
        <w:rPr>
          <w:rFonts w:ascii="標楷體" w:eastAsia="標楷體" w:hAnsi="標楷體" w:hint="eastAsia"/>
          <w:sz w:val="28"/>
          <w:szCs w:val="28"/>
        </w:rPr>
        <w:t>聽</w:t>
      </w:r>
      <w:r w:rsidR="00D50163" w:rsidRPr="003324E8">
        <w:rPr>
          <w:rFonts w:ascii="標楷體" w:eastAsia="標楷體" w:hAnsi="標楷體" w:hint="eastAsia"/>
          <w:sz w:val="28"/>
          <w:szCs w:val="28"/>
        </w:rPr>
        <w:t>證</w:t>
      </w:r>
      <w:r w:rsidR="005C4FB9" w:rsidRPr="003324E8">
        <w:rPr>
          <w:rFonts w:ascii="標楷體" w:eastAsia="標楷體" w:hAnsi="標楷體" w:hint="eastAsia"/>
          <w:sz w:val="28"/>
          <w:szCs w:val="28"/>
        </w:rPr>
        <w:t>程序能否公平</w:t>
      </w:r>
      <w:r w:rsidR="002B01E5" w:rsidRPr="003324E8">
        <w:rPr>
          <w:rFonts w:ascii="標楷體" w:eastAsia="標楷體" w:hAnsi="標楷體" w:hint="eastAsia"/>
          <w:sz w:val="28"/>
          <w:szCs w:val="28"/>
        </w:rPr>
        <w:t>、</w:t>
      </w:r>
      <w:r w:rsidR="005C4FB9" w:rsidRPr="003324E8">
        <w:rPr>
          <w:rFonts w:ascii="標楷體" w:eastAsia="標楷體" w:hAnsi="標楷體" w:hint="eastAsia"/>
          <w:sz w:val="28"/>
          <w:szCs w:val="28"/>
        </w:rPr>
        <w:t>有效進行，聽證主持人</w:t>
      </w:r>
      <w:r w:rsidR="0094242C" w:rsidRPr="003324E8">
        <w:rPr>
          <w:rFonts w:ascii="標楷體" w:eastAsia="標楷體" w:hAnsi="標楷體" w:hint="eastAsia"/>
          <w:sz w:val="28"/>
          <w:szCs w:val="28"/>
        </w:rPr>
        <w:t>至</w:t>
      </w:r>
      <w:r w:rsidR="00EE6C08" w:rsidRPr="003324E8">
        <w:rPr>
          <w:rFonts w:ascii="標楷體" w:eastAsia="標楷體" w:hAnsi="標楷體" w:hint="eastAsia"/>
          <w:sz w:val="28"/>
          <w:szCs w:val="28"/>
        </w:rPr>
        <w:t>為關鍵</w:t>
      </w:r>
      <w:r w:rsidR="005C4FB9" w:rsidRPr="003324E8">
        <w:rPr>
          <w:rFonts w:ascii="標楷體" w:eastAsia="標楷體" w:hAnsi="標楷體" w:hint="eastAsia"/>
          <w:sz w:val="28"/>
          <w:szCs w:val="28"/>
        </w:rPr>
        <w:t>。</w:t>
      </w:r>
    </w:p>
    <w:p w14:paraId="4483EE69" w14:textId="77777777" w:rsidR="00C35134" w:rsidRPr="003324E8" w:rsidRDefault="002B01E5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內政</w:t>
      </w:r>
      <w:r w:rsidR="00E63293" w:rsidRPr="003324E8">
        <w:rPr>
          <w:rFonts w:ascii="標楷體" w:eastAsia="標楷體" w:hAnsi="標楷體" w:hint="eastAsia"/>
          <w:sz w:val="28"/>
          <w:szCs w:val="28"/>
        </w:rPr>
        <w:t>部盼能透過此次對外公開遴選，延攬</w:t>
      </w:r>
      <w:r w:rsidR="00C35134" w:rsidRPr="003324E8">
        <w:rPr>
          <w:rFonts w:ascii="標楷體" w:eastAsia="標楷體" w:hAnsi="標楷體" w:hint="eastAsia"/>
          <w:sz w:val="28"/>
          <w:szCs w:val="28"/>
        </w:rPr>
        <w:t>各界</w:t>
      </w:r>
      <w:r w:rsidR="00E63293" w:rsidRPr="003324E8">
        <w:rPr>
          <w:rFonts w:ascii="標楷體" w:eastAsia="標楷體" w:hAnsi="標楷體" w:hint="eastAsia"/>
          <w:sz w:val="28"/>
          <w:szCs w:val="28"/>
        </w:rPr>
        <w:t>優秀程序人才。</w:t>
      </w:r>
      <w:r w:rsidR="00C35134" w:rsidRPr="003324E8">
        <w:rPr>
          <w:rFonts w:ascii="標楷體" w:eastAsia="標楷體" w:hAnsi="標楷體" w:hint="eastAsia"/>
          <w:sz w:val="28"/>
          <w:szCs w:val="28"/>
        </w:rPr>
        <w:t>歡迎大家</w:t>
      </w:r>
      <w:r w:rsidRPr="003324E8">
        <w:rPr>
          <w:rFonts w:ascii="標楷體" w:eastAsia="標楷體" w:hAnsi="標楷體" w:hint="eastAsia"/>
          <w:sz w:val="28"/>
          <w:szCs w:val="28"/>
        </w:rPr>
        <w:t>踴躍舉才、也期待熟稔聽證制度以及相關行政程序之人，不吝貢獻所</w:t>
      </w:r>
      <w:r w:rsidR="00EA2060" w:rsidRPr="003324E8">
        <w:rPr>
          <w:rFonts w:ascii="標楷體" w:eastAsia="標楷體" w:hAnsi="標楷體" w:hint="eastAsia"/>
          <w:sz w:val="28"/>
          <w:szCs w:val="28"/>
        </w:rPr>
        <w:t>長、自我推薦，</w:t>
      </w:r>
      <w:r w:rsidR="008B7525" w:rsidRPr="003324E8">
        <w:rPr>
          <w:rFonts w:ascii="標楷體" w:eastAsia="標楷體" w:hAnsi="標楷體" w:hint="eastAsia"/>
          <w:sz w:val="28"/>
          <w:szCs w:val="28"/>
        </w:rPr>
        <w:t>使聽證制度的建構日趨完善、發</w:t>
      </w:r>
      <w:r w:rsidR="00D50163" w:rsidRPr="003324E8">
        <w:rPr>
          <w:rFonts w:ascii="標楷體" w:eastAsia="標楷體" w:hAnsi="標楷體" w:hint="eastAsia"/>
          <w:sz w:val="28"/>
          <w:szCs w:val="28"/>
        </w:rPr>
        <w:t>揮此制度</w:t>
      </w:r>
      <w:r w:rsidR="008B7525" w:rsidRPr="003324E8">
        <w:rPr>
          <w:rFonts w:ascii="標楷體" w:eastAsia="標楷體" w:hAnsi="標楷體" w:hint="eastAsia"/>
          <w:sz w:val="28"/>
          <w:szCs w:val="28"/>
        </w:rPr>
        <w:t>應有的功能。</w:t>
      </w:r>
    </w:p>
    <w:p w14:paraId="2B4FB170" w14:textId="67885E04" w:rsidR="00C35134" w:rsidRPr="003324E8" w:rsidRDefault="00FE4F0F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為求慎重，</w:t>
      </w:r>
      <w:r w:rsidR="00EA2060" w:rsidRPr="003324E8">
        <w:rPr>
          <w:rFonts w:ascii="標楷體" w:eastAsia="標楷體" w:hAnsi="標楷體" w:hint="eastAsia"/>
          <w:sz w:val="28"/>
          <w:szCs w:val="28"/>
        </w:rPr>
        <w:t>內政部</w:t>
      </w:r>
      <w:r w:rsidRPr="003324E8">
        <w:rPr>
          <w:rFonts w:ascii="標楷體" w:eastAsia="標楷體" w:hAnsi="標楷體" w:hint="eastAsia"/>
          <w:sz w:val="28"/>
          <w:szCs w:val="28"/>
        </w:rPr>
        <w:t>將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組成遴選</w:t>
      </w:r>
      <w:r w:rsidR="00A943F6" w:rsidRPr="003324E8">
        <w:rPr>
          <w:rFonts w:ascii="標楷體" w:eastAsia="標楷體" w:hAnsi="標楷體" w:hint="eastAsia"/>
          <w:bCs/>
          <w:sz w:val="28"/>
          <w:szCs w:val="28"/>
        </w:rPr>
        <w:t>小組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，就</w:t>
      </w:r>
      <w:r w:rsidR="00EA2060" w:rsidRPr="003324E8">
        <w:rPr>
          <w:rFonts w:ascii="標楷體" w:eastAsia="標楷體" w:hAnsi="標楷體" w:hint="eastAsia"/>
          <w:sz w:val="28"/>
          <w:szCs w:val="28"/>
        </w:rPr>
        <w:t>各界推薦及自薦人選</w:t>
      </w:r>
      <w:r w:rsidRPr="003324E8">
        <w:rPr>
          <w:rFonts w:ascii="標楷體" w:eastAsia="標楷體" w:hAnsi="標楷體" w:hint="eastAsia"/>
          <w:sz w:val="28"/>
          <w:szCs w:val="28"/>
        </w:rPr>
        <w:t>進行遴定。期能</w:t>
      </w:r>
      <w:r w:rsidR="00711507" w:rsidRPr="003324E8">
        <w:rPr>
          <w:rFonts w:ascii="標楷體" w:eastAsia="標楷體" w:hAnsi="標楷體" w:hint="eastAsia"/>
          <w:bCs/>
          <w:sz w:val="28"/>
          <w:szCs w:val="28"/>
        </w:rPr>
        <w:t>以</w:t>
      </w:r>
      <w:r w:rsidR="000C1148" w:rsidRPr="003324E8">
        <w:rPr>
          <w:rFonts w:ascii="標楷體" w:eastAsia="標楷體" w:hAnsi="標楷體" w:hint="eastAsia"/>
          <w:bCs/>
          <w:sz w:val="28"/>
          <w:szCs w:val="28"/>
        </w:rPr>
        <w:t>公正</w:t>
      </w:r>
      <w:r w:rsidR="00711507" w:rsidRPr="003324E8">
        <w:rPr>
          <w:rFonts w:ascii="標楷體" w:eastAsia="標楷體" w:hAnsi="標楷體" w:hint="eastAsia"/>
          <w:bCs/>
          <w:sz w:val="28"/>
          <w:szCs w:val="28"/>
        </w:rPr>
        <w:t>的方式遴選</w:t>
      </w:r>
      <w:r w:rsidR="00FA5AFD" w:rsidRPr="003324E8">
        <w:rPr>
          <w:rFonts w:ascii="標楷體" w:eastAsia="標楷體" w:hAnsi="標楷體" w:hint="eastAsia"/>
          <w:bCs/>
          <w:sz w:val="28"/>
          <w:szCs w:val="28"/>
        </w:rPr>
        <w:t>出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「內政部第一屆聽證</w:t>
      </w:r>
      <w:r w:rsidR="0067356C" w:rsidRPr="003324E8">
        <w:rPr>
          <w:rFonts w:ascii="標楷體" w:eastAsia="標楷體" w:hAnsi="標楷體" w:hint="eastAsia"/>
          <w:bCs/>
          <w:sz w:val="28"/>
          <w:szCs w:val="28"/>
        </w:rPr>
        <w:t>主持人」名單（人數</w:t>
      </w:r>
      <w:r w:rsidR="00DB04A4" w:rsidRPr="003324E8">
        <w:rPr>
          <w:rFonts w:ascii="標楷體" w:eastAsia="標楷體" w:hAnsi="標楷體" w:hint="eastAsia"/>
          <w:bCs/>
          <w:sz w:val="28"/>
          <w:szCs w:val="28"/>
        </w:rPr>
        <w:t>將</w:t>
      </w:r>
      <w:r w:rsidR="0067356C" w:rsidRPr="003324E8">
        <w:rPr>
          <w:rFonts w:ascii="標楷體" w:eastAsia="標楷體" w:hAnsi="標楷體" w:hint="eastAsia"/>
          <w:bCs/>
          <w:sz w:val="28"/>
          <w:szCs w:val="28"/>
        </w:rPr>
        <w:t>以5-10</w:t>
      </w:r>
      <w:r w:rsidR="00F1614B" w:rsidRPr="003324E8">
        <w:rPr>
          <w:rFonts w:ascii="標楷體" w:eastAsia="標楷體" w:hAnsi="標楷體" w:hint="eastAsia"/>
          <w:bCs/>
          <w:sz w:val="28"/>
          <w:szCs w:val="28"/>
        </w:rPr>
        <w:t>人為限）。</w:t>
      </w:r>
      <w:r w:rsidR="00D83645" w:rsidRPr="003324E8">
        <w:rPr>
          <w:rFonts w:ascii="標楷體" w:eastAsia="標楷體" w:hAnsi="標楷體" w:hint="eastAsia"/>
          <w:bCs/>
          <w:sz w:val="28"/>
          <w:szCs w:val="28"/>
        </w:rPr>
        <w:t>初步</w:t>
      </w:r>
      <w:r w:rsidR="007F17A0" w:rsidRPr="003324E8">
        <w:rPr>
          <w:rFonts w:ascii="標楷體" w:eastAsia="標楷體" w:hAnsi="標楷體" w:hint="eastAsia"/>
          <w:bCs/>
          <w:sz w:val="28"/>
          <w:szCs w:val="28"/>
        </w:rPr>
        <w:t>名單將公告於內政部官網首頁，並同時</w:t>
      </w:r>
      <w:r w:rsidR="0067356C" w:rsidRPr="003324E8">
        <w:rPr>
          <w:rFonts w:ascii="標楷體" w:eastAsia="標楷體" w:hAnsi="標楷體" w:hint="eastAsia"/>
          <w:bCs/>
          <w:sz w:val="28"/>
          <w:szCs w:val="28"/>
        </w:rPr>
        <w:t>寄送邀請函予</w:t>
      </w:r>
      <w:r w:rsidR="00D45B18" w:rsidRPr="003324E8">
        <w:rPr>
          <w:rFonts w:ascii="標楷體" w:eastAsia="標楷體" w:hAnsi="標楷體" w:hint="eastAsia"/>
          <w:bCs/>
          <w:sz w:val="28"/>
          <w:szCs w:val="28"/>
        </w:rPr>
        <w:t>獲選人員</w:t>
      </w:r>
      <w:r w:rsidR="00E6050A" w:rsidRPr="003324E8">
        <w:rPr>
          <w:rFonts w:ascii="標楷體" w:eastAsia="標楷體" w:hAnsi="標楷體" w:hint="eastAsia"/>
          <w:bCs/>
          <w:sz w:val="28"/>
          <w:szCs w:val="28"/>
        </w:rPr>
        <w:t>。</w:t>
      </w:r>
      <w:r w:rsidR="00D83645" w:rsidRPr="003324E8">
        <w:rPr>
          <w:rFonts w:ascii="標楷體" w:eastAsia="標楷體" w:hAnsi="標楷體" w:hint="eastAsia"/>
          <w:bCs/>
          <w:sz w:val="28"/>
          <w:szCs w:val="28"/>
        </w:rPr>
        <w:t>確認後，最終名單</w:t>
      </w:r>
      <w:r w:rsidR="000613AF" w:rsidRPr="003324E8">
        <w:rPr>
          <w:rFonts w:ascii="標楷體" w:eastAsia="標楷體" w:hAnsi="標楷體" w:hint="eastAsia"/>
          <w:bCs/>
          <w:sz w:val="28"/>
          <w:szCs w:val="28"/>
        </w:rPr>
        <w:t>也將公告官網</w:t>
      </w:r>
      <w:r w:rsidR="00CC1BF0" w:rsidRPr="003324E8">
        <w:rPr>
          <w:rFonts w:ascii="標楷體" w:eastAsia="標楷體" w:hAnsi="標楷體" w:hint="eastAsia"/>
          <w:bCs/>
          <w:sz w:val="28"/>
          <w:szCs w:val="28"/>
        </w:rPr>
        <w:t>首</w:t>
      </w:r>
      <w:r w:rsidR="00EB70A3" w:rsidRPr="003324E8">
        <w:rPr>
          <w:rFonts w:ascii="標楷體" w:eastAsia="標楷體" w:hAnsi="標楷體" w:hint="eastAsia"/>
          <w:bCs/>
          <w:sz w:val="28"/>
          <w:szCs w:val="28"/>
        </w:rPr>
        <w:t>頁；</w:t>
      </w:r>
      <w:r w:rsidR="00D83645" w:rsidRPr="003324E8">
        <w:rPr>
          <w:rFonts w:ascii="標楷體" w:eastAsia="標楷體" w:hAnsi="標楷體" w:hint="eastAsia"/>
          <w:bCs/>
          <w:sz w:val="28"/>
          <w:szCs w:val="28"/>
        </w:rPr>
        <w:t>並將擇日由部長親自主持授證儀式</w:t>
      </w:r>
      <w:r w:rsidR="0090101B" w:rsidRPr="003324E8">
        <w:rPr>
          <w:rFonts w:ascii="標楷體" w:eastAsia="標楷體" w:hAnsi="標楷體" w:hint="eastAsia"/>
          <w:bCs/>
          <w:sz w:val="28"/>
          <w:szCs w:val="28"/>
        </w:rPr>
        <w:t>，確立聽證主持人於程序處理的公信力</w:t>
      </w:r>
      <w:r w:rsidR="00D83645" w:rsidRPr="003324E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AE4CB34" w14:textId="21AB5A28" w:rsidR="00C35134" w:rsidRPr="003324E8" w:rsidRDefault="00B26453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為強化</w:t>
      </w:r>
      <w:r w:rsidR="006D2ABF" w:rsidRPr="003324E8">
        <w:rPr>
          <w:rFonts w:ascii="標楷體" w:eastAsia="標楷體" w:hAnsi="標楷體" w:hint="eastAsia"/>
          <w:bCs/>
          <w:sz w:val="28"/>
          <w:szCs w:val="28"/>
        </w:rPr>
        <w:t>聽證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主持人量能，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內政部將</w:t>
      </w:r>
      <w:r w:rsidR="00BC0832" w:rsidRPr="003324E8">
        <w:rPr>
          <w:rFonts w:ascii="標楷體" w:eastAsia="標楷體" w:hAnsi="標楷體" w:hint="eastAsia"/>
          <w:bCs/>
          <w:sz w:val="28"/>
          <w:szCs w:val="28"/>
        </w:rPr>
        <w:t>舉辦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系列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講座及經驗分享交流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會。</w:t>
      </w:r>
      <w:r w:rsidR="00D06DD6" w:rsidRPr="003324E8">
        <w:rPr>
          <w:rFonts w:ascii="標楷體" w:eastAsia="標楷體" w:hAnsi="標楷體" w:hint="eastAsia"/>
          <w:bCs/>
          <w:sz w:val="28"/>
          <w:szCs w:val="28"/>
        </w:rPr>
        <w:t>同時，為汲取</w:t>
      </w:r>
      <w:r w:rsidR="00437FD2" w:rsidRPr="003324E8">
        <w:rPr>
          <w:rFonts w:ascii="標楷體" w:eastAsia="標楷體" w:hAnsi="標楷體" w:hint="eastAsia"/>
          <w:bCs/>
          <w:sz w:val="28"/>
          <w:szCs w:val="28"/>
        </w:rPr>
        <w:t>世界各國</w:t>
      </w:r>
      <w:r w:rsidR="008320AE" w:rsidRPr="003324E8">
        <w:rPr>
          <w:rFonts w:ascii="標楷體" w:eastAsia="標楷體" w:hAnsi="標楷體" w:hint="eastAsia"/>
          <w:bCs/>
          <w:sz w:val="28"/>
          <w:szCs w:val="28"/>
        </w:rPr>
        <w:t>經驗，</w:t>
      </w:r>
      <w:r w:rsidR="006F1310" w:rsidRPr="003324E8">
        <w:rPr>
          <w:rFonts w:ascii="標楷體" w:eastAsia="標楷體" w:hAnsi="標楷體" w:hint="eastAsia"/>
          <w:bCs/>
          <w:sz w:val="28"/>
          <w:szCs w:val="28"/>
        </w:rPr>
        <w:t>如美國、澳洲等</w:t>
      </w:r>
      <w:r w:rsidR="00BE12F7" w:rsidRPr="003324E8">
        <w:rPr>
          <w:rFonts w:ascii="標楷體" w:eastAsia="標楷體" w:hAnsi="標楷體" w:hint="eastAsia"/>
          <w:bCs/>
          <w:sz w:val="28"/>
          <w:szCs w:val="28"/>
        </w:rPr>
        <w:t>國均</w:t>
      </w:r>
      <w:r w:rsidR="006F1310" w:rsidRPr="003324E8">
        <w:rPr>
          <w:rFonts w:ascii="標楷體" w:eastAsia="標楷體" w:hAnsi="標楷體" w:hint="eastAsia"/>
          <w:bCs/>
          <w:sz w:val="28"/>
          <w:szCs w:val="28"/>
        </w:rPr>
        <w:t>已</w:t>
      </w:r>
      <w:r w:rsidR="00437FD2" w:rsidRPr="003324E8">
        <w:rPr>
          <w:rFonts w:ascii="標楷體" w:eastAsia="標楷體" w:hAnsi="標楷體" w:hint="eastAsia"/>
          <w:bCs/>
          <w:sz w:val="28"/>
          <w:szCs w:val="28"/>
        </w:rPr>
        <w:t>實行</w:t>
      </w:r>
      <w:r w:rsidR="00D06DD6" w:rsidRPr="003324E8">
        <w:rPr>
          <w:rFonts w:ascii="標楷體" w:eastAsia="標楷體" w:hAnsi="標楷體" w:hint="eastAsia"/>
          <w:bCs/>
          <w:sz w:val="28"/>
          <w:szCs w:val="28"/>
        </w:rPr>
        <w:t>聽證</w:t>
      </w:r>
      <w:r w:rsidR="00437FD2" w:rsidRPr="003324E8">
        <w:rPr>
          <w:rFonts w:ascii="標楷體" w:eastAsia="標楷體" w:hAnsi="標楷體" w:hint="eastAsia"/>
          <w:bCs/>
          <w:sz w:val="28"/>
          <w:szCs w:val="28"/>
        </w:rPr>
        <w:t>制度多年</w:t>
      </w:r>
      <w:r w:rsidR="006D2ABF" w:rsidRPr="003324E8">
        <w:rPr>
          <w:rFonts w:ascii="標楷體" w:eastAsia="標楷體" w:hAnsi="標楷體" w:hint="eastAsia"/>
          <w:bCs/>
          <w:sz w:val="28"/>
          <w:szCs w:val="28"/>
        </w:rPr>
        <w:t>、累積相當豐厚</w:t>
      </w:r>
      <w:r w:rsidR="00BE12F7" w:rsidRPr="003324E8">
        <w:rPr>
          <w:rFonts w:ascii="標楷體" w:eastAsia="標楷體" w:hAnsi="標楷體" w:hint="eastAsia"/>
          <w:bCs/>
          <w:sz w:val="28"/>
          <w:szCs w:val="28"/>
        </w:rPr>
        <w:t>聽證</w:t>
      </w:r>
      <w:r w:rsidR="001D4E14" w:rsidRPr="003324E8">
        <w:rPr>
          <w:rFonts w:ascii="標楷體" w:eastAsia="標楷體" w:hAnsi="標楷體" w:hint="eastAsia"/>
          <w:bCs/>
          <w:sz w:val="28"/>
          <w:szCs w:val="28"/>
        </w:rPr>
        <w:t>經驗，</w:t>
      </w:r>
      <w:r w:rsidR="00F1614B" w:rsidRPr="003324E8">
        <w:rPr>
          <w:rFonts w:ascii="標楷體" w:eastAsia="標楷體" w:hAnsi="標楷體" w:hint="eastAsia"/>
          <w:bCs/>
          <w:sz w:val="28"/>
          <w:szCs w:val="28"/>
        </w:rPr>
        <w:t>也</w:t>
      </w:r>
      <w:r w:rsidR="001D4E14" w:rsidRPr="003324E8">
        <w:rPr>
          <w:rFonts w:ascii="標楷體" w:eastAsia="標楷體" w:hAnsi="標楷體" w:hint="eastAsia"/>
          <w:bCs/>
          <w:sz w:val="28"/>
          <w:szCs w:val="28"/>
        </w:rPr>
        <w:t>將</w:t>
      </w:r>
      <w:r w:rsidR="008A087E" w:rsidRPr="003324E8">
        <w:rPr>
          <w:rFonts w:ascii="標楷體" w:eastAsia="標楷體" w:hAnsi="標楷體" w:hint="eastAsia"/>
          <w:bCs/>
          <w:sz w:val="28"/>
          <w:szCs w:val="28"/>
        </w:rPr>
        <w:t>伺機</w:t>
      </w:r>
      <w:r w:rsidR="001D4E14" w:rsidRPr="003324E8">
        <w:rPr>
          <w:rFonts w:ascii="標楷體" w:eastAsia="標楷體" w:hAnsi="標楷體" w:hint="eastAsia"/>
          <w:bCs/>
          <w:sz w:val="28"/>
          <w:szCs w:val="28"/>
        </w:rPr>
        <w:t>安排</w:t>
      </w:r>
      <w:r w:rsidR="00316457" w:rsidRPr="003324E8">
        <w:rPr>
          <w:rFonts w:ascii="標楷體" w:eastAsia="標楷體" w:hAnsi="標楷體" w:hint="eastAsia"/>
          <w:bCs/>
          <w:sz w:val="28"/>
          <w:szCs w:val="28"/>
        </w:rPr>
        <w:t>與其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聽證主持人/</w:t>
      </w:r>
      <w:r w:rsidR="00EE6C08" w:rsidRPr="003324E8">
        <w:rPr>
          <w:rFonts w:ascii="標楷體" w:eastAsia="標楷體" w:hAnsi="標楷體" w:hint="eastAsia"/>
          <w:bCs/>
          <w:sz w:val="28"/>
          <w:szCs w:val="28"/>
        </w:rPr>
        <w:t>專</w:t>
      </w:r>
      <w:r w:rsidR="00EE6C08" w:rsidRPr="003324E8">
        <w:rPr>
          <w:rFonts w:ascii="標楷體" w:eastAsia="標楷體" w:hAnsi="標楷體" w:hint="eastAsia"/>
          <w:bCs/>
          <w:sz w:val="28"/>
          <w:szCs w:val="28"/>
        </w:rPr>
        <w:lastRenderedPageBreak/>
        <w:t>業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聽證官</w:t>
      </w:r>
      <w:r w:rsidR="00437FD2" w:rsidRPr="003324E8">
        <w:rPr>
          <w:rFonts w:ascii="標楷體" w:eastAsia="標楷體" w:hAnsi="標楷體" w:hint="eastAsia"/>
          <w:bCs/>
          <w:sz w:val="28"/>
          <w:szCs w:val="28"/>
        </w:rPr>
        <w:t>(</w:t>
      </w:r>
      <w:r w:rsidR="00316457" w:rsidRPr="003324E8">
        <w:rPr>
          <w:rFonts w:ascii="標楷體" w:eastAsia="標楷體" w:hAnsi="標楷體"/>
          <w:bCs/>
          <w:sz w:val="28"/>
          <w:szCs w:val="28"/>
        </w:rPr>
        <w:t>A</w:t>
      </w:r>
      <w:r w:rsidR="00437FD2" w:rsidRPr="003324E8">
        <w:rPr>
          <w:rFonts w:ascii="標楷體" w:eastAsia="標楷體" w:hAnsi="標楷體"/>
          <w:bCs/>
          <w:sz w:val="28"/>
          <w:szCs w:val="28"/>
        </w:rPr>
        <w:t>dministrative Law Judge</w:t>
      </w:r>
      <w:r w:rsidR="00563379" w:rsidRPr="003324E8">
        <w:rPr>
          <w:rFonts w:ascii="標楷體" w:eastAsia="標楷體" w:hAnsi="標楷體" w:hint="eastAsia"/>
          <w:bCs/>
          <w:sz w:val="28"/>
          <w:szCs w:val="28"/>
        </w:rPr>
        <w:t>、</w:t>
      </w:r>
      <w:r w:rsidR="00316457" w:rsidRPr="003324E8">
        <w:rPr>
          <w:rFonts w:ascii="標楷體" w:eastAsia="標楷體" w:hAnsi="標楷體"/>
          <w:bCs/>
          <w:sz w:val="28"/>
          <w:szCs w:val="28"/>
        </w:rPr>
        <w:t>Hearing Of</w:t>
      </w:r>
      <w:r w:rsidR="00437FD2" w:rsidRPr="003324E8">
        <w:rPr>
          <w:rFonts w:ascii="標楷體" w:eastAsia="標楷體" w:hAnsi="標楷體"/>
          <w:bCs/>
          <w:sz w:val="28"/>
          <w:szCs w:val="28"/>
        </w:rPr>
        <w:t>ficer</w:t>
      </w:r>
      <w:r w:rsidR="00437FD2" w:rsidRPr="003324E8">
        <w:rPr>
          <w:rFonts w:ascii="標楷體" w:eastAsia="標楷體" w:hAnsi="標楷體" w:hint="eastAsia"/>
          <w:bCs/>
          <w:sz w:val="28"/>
          <w:szCs w:val="28"/>
        </w:rPr>
        <w:t>)</w:t>
      </w:r>
      <w:r w:rsidR="00423771" w:rsidRPr="003324E8">
        <w:rPr>
          <w:rFonts w:ascii="標楷體" w:eastAsia="標楷體" w:hAnsi="標楷體" w:hint="eastAsia"/>
          <w:bCs/>
          <w:sz w:val="28"/>
          <w:szCs w:val="28"/>
        </w:rPr>
        <w:t>進行實務</w:t>
      </w:r>
      <w:r w:rsidR="00D06DD6" w:rsidRPr="003324E8">
        <w:rPr>
          <w:rFonts w:ascii="標楷體" w:eastAsia="標楷體" w:hAnsi="標楷體" w:hint="eastAsia"/>
          <w:bCs/>
          <w:sz w:val="28"/>
          <w:szCs w:val="28"/>
        </w:rPr>
        <w:t>對話</w:t>
      </w:r>
      <w:r w:rsidR="008A087E" w:rsidRPr="003324E8">
        <w:rPr>
          <w:rFonts w:ascii="標楷體" w:eastAsia="標楷體" w:hAnsi="標楷體" w:hint="eastAsia"/>
          <w:bCs/>
          <w:sz w:val="28"/>
          <w:szCs w:val="28"/>
        </w:rPr>
        <w:t>與經驗交流</w:t>
      </w:r>
      <w:r w:rsidR="00C35134" w:rsidRPr="003324E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89F0FD6" w14:textId="525F13FD" w:rsidR="00B76540" w:rsidRPr="003324E8" w:rsidRDefault="00311342" w:rsidP="00C53B2F">
      <w:pPr>
        <w:spacing w:beforeLines="20" w:before="72" w:afterLines="50" w:after="180" w:line="440" w:lineRule="exact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聽證機制完備，為內政部建構程序理性、民眾參與機制</w:t>
      </w:r>
      <w:r w:rsidR="008A087E" w:rsidRPr="003324E8">
        <w:rPr>
          <w:rFonts w:ascii="標楷體" w:eastAsia="標楷體" w:hAnsi="標楷體" w:hint="eastAsia"/>
          <w:bCs/>
          <w:sz w:val="28"/>
          <w:szCs w:val="28"/>
        </w:rPr>
        <w:t>的重要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環</w:t>
      </w:r>
      <w:r w:rsidR="008A087E" w:rsidRPr="003324E8">
        <w:rPr>
          <w:rFonts w:ascii="標楷體" w:eastAsia="標楷體" w:hAnsi="標楷體" w:hint="eastAsia"/>
          <w:bCs/>
          <w:sz w:val="28"/>
          <w:szCs w:val="28"/>
        </w:rPr>
        <w:t>節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404E41" w:rsidRPr="003324E8">
        <w:rPr>
          <w:rFonts w:ascii="標楷體" w:eastAsia="標楷體" w:hAnsi="標楷體" w:hint="eastAsia"/>
          <w:bCs/>
          <w:sz w:val="28"/>
          <w:szCs w:val="28"/>
        </w:rPr>
        <w:t>內政部將以積極的程序觀</w:t>
      </w:r>
      <w:r w:rsidR="0094242C"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C35134" w:rsidRPr="003324E8">
        <w:rPr>
          <w:rFonts w:ascii="標楷體" w:eastAsia="標楷體" w:hAnsi="標楷體" w:hint="eastAsia"/>
          <w:bCs/>
          <w:sz w:val="28"/>
          <w:szCs w:val="28"/>
        </w:rPr>
        <w:t>另行研定聽證程序規範與作業辦法</w:t>
      </w:r>
      <w:r w:rsidR="004670AE" w:rsidRPr="003324E8">
        <w:rPr>
          <w:rFonts w:ascii="標楷體" w:eastAsia="標楷體" w:hAnsi="標楷體" w:hint="eastAsia"/>
          <w:bCs/>
          <w:sz w:val="28"/>
          <w:szCs w:val="28"/>
        </w:rPr>
        <w:t>；同時，也</w:t>
      </w:r>
      <w:r w:rsidR="00033EE3" w:rsidRPr="003324E8">
        <w:rPr>
          <w:rFonts w:ascii="標楷體" w:eastAsia="標楷體" w:hAnsi="標楷體" w:hint="eastAsia"/>
          <w:bCs/>
          <w:sz w:val="28"/>
          <w:szCs w:val="28"/>
        </w:rPr>
        <w:t>將</w:t>
      </w:r>
      <w:r w:rsidR="00AB00F4" w:rsidRPr="003324E8">
        <w:rPr>
          <w:rFonts w:ascii="標楷體" w:eastAsia="標楷體" w:hAnsi="標楷體" w:hint="eastAsia"/>
          <w:bCs/>
          <w:sz w:val="28"/>
          <w:szCs w:val="28"/>
        </w:rPr>
        <w:t>秉持</w:t>
      </w:r>
      <w:r w:rsidR="00033EE3" w:rsidRPr="003324E8">
        <w:rPr>
          <w:rFonts w:ascii="標楷體" w:eastAsia="標楷體" w:hAnsi="標楷體" w:hint="eastAsia"/>
          <w:bCs/>
          <w:sz w:val="28"/>
          <w:szCs w:val="28"/>
        </w:rPr>
        <w:t>強化程序理性、落實民眾參與</w:t>
      </w:r>
      <w:r w:rsidR="00FD596C" w:rsidRPr="003324E8">
        <w:rPr>
          <w:rFonts w:ascii="標楷體" w:eastAsia="標楷體" w:hAnsi="標楷體" w:hint="eastAsia"/>
          <w:bCs/>
          <w:sz w:val="28"/>
          <w:szCs w:val="28"/>
        </w:rPr>
        <w:t>的</w:t>
      </w:r>
      <w:r w:rsidR="00AB00F4" w:rsidRPr="003324E8">
        <w:rPr>
          <w:rFonts w:ascii="標楷體" w:eastAsia="標楷體" w:hAnsi="標楷體" w:hint="eastAsia"/>
          <w:bCs/>
          <w:sz w:val="28"/>
          <w:szCs w:val="28"/>
        </w:rPr>
        <w:t>態度</w:t>
      </w:r>
      <w:r w:rsidR="00FD596C"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033EE3" w:rsidRPr="003324E8">
        <w:rPr>
          <w:rFonts w:ascii="標楷體" w:eastAsia="標楷體" w:hAnsi="標楷體" w:hint="eastAsia"/>
          <w:bCs/>
          <w:sz w:val="28"/>
          <w:szCs w:val="28"/>
        </w:rPr>
        <w:t>使各項</w:t>
      </w:r>
      <w:r w:rsidR="00FD596C" w:rsidRPr="003324E8">
        <w:rPr>
          <w:rFonts w:ascii="標楷體" w:eastAsia="標楷體" w:hAnsi="標楷體" w:hint="eastAsia"/>
          <w:bCs/>
          <w:sz w:val="28"/>
          <w:szCs w:val="28"/>
        </w:rPr>
        <w:t>行政運行產生資訊加值與決策加值的重大助益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DE5CC0" w:rsidRPr="003324E8">
        <w:rPr>
          <w:rFonts w:ascii="標楷體" w:eastAsia="標楷體" w:hAnsi="標楷體" w:hint="eastAsia"/>
          <w:bCs/>
          <w:sz w:val="28"/>
          <w:szCs w:val="28"/>
        </w:rPr>
        <w:t>提升行政機關效能</w:t>
      </w:r>
      <w:r w:rsidR="001014E0" w:rsidRPr="003324E8">
        <w:rPr>
          <w:rFonts w:ascii="標楷體" w:eastAsia="標楷體" w:hAnsi="標楷體" w:hint="eastAsia"/>
          <w:bCs/>
          <w:sz w:val="28"/>
          <w:szCs w:val="28"/>
        </w:rPr>
        <w:t>、保障人民權益、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落實程序正義</w:t>
      </w:r>
      <w:r w:rsidR="00DE5CC0" w:rsidRPr="003324E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5F64A60" w14:textId="710D6079" w:rsidR="008D6CC6" w:rsidRPr="003324E8" w:rsidRDefault="00C35134" w:rsidP="002B01E5">
      <w:pPr>
        <w:pStyle w:val="a3"/>
        <w:numPr>
          <w:ilvl w:val="0"/>
          <w:numId w:val="6"/>
        </w:numPr>
        <w:spacing w:beforeLines="20" w:before="72" w:afterLines="50" w:after="18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聽證主持人推(自)薦</w:t>
      </w:r>
      <w:r w:rsidR="00A66771" w:rsidRPr="003324E8">
        <w:rPr>
          <w:rFonts w:ascii="標楷體" w:eastAsia="標楷體" w:hAnsi="標楷體" w:hint="eastAsia"/>
          <w:bCs/>
          <w:sz w:val="28"/>
          <w:szCs w:val="28"/>
        </w:rPr>
        <w:t>資格</w:t>
      </w:r>
    </w:p>
    <w:p w14:paraId="64903617" w14:textId="0246FCB2" w:rsidR="008D6CC6" w:rsidRPr="003324E8" w:rsidRDefault="00683135" w:rsidP="002B01E5">
      <w:pPr>
        <w:pStyle w:val="a3"/>
        <w:numPr>
          <w:ilvl w:val="0"/>
          <w:numId w:val="7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為確保聽證之公信</w:t>
      </w:r>
      <w:r w:rsidR="007E7AA7" w:rsidRPr="003324E8">
        <w:rPr>
          <w:rFonts w:ascii="標楷體" w:eastAsia="標楷體" w:hAnsi="標楷體" w:hint="eastAsia"/>
          <w:bCs/>
          <w:sz w:val="28"/>
          <w:szCs w:val="28"/>
        </w:rPr>
        <w:t>力</w:t>
      </w:r>
      <w:r w:rsidR="008D6CC6"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A66771" w:rsidRPr="003324E8">
        <w:rPr>
          <w:rFonts w:ascii="標楷體" w:eastAsia="標楷體" w:hAnsi="標楷體" w:hint="eastAsia"/>
          <w:bCs/>
          <w:sz w:val="28"/>
          <w:szCs w:val="28"/>
        </w:rPr>
        <w:t>推(自)薦聽證主持人資格參考條件如下</w:t>
      </w:r>
      <w:r w:rsidR="008E4C6D" w:rsidRPr="003324E8">
        <w:rPr>
          <w:rFonts w:ascii="標楷體" w:eastAsia="標楷體" w:hAnsi="標楷體" w:hint="eastAsia"/>
          <w:bCs/>
          <w:sz w:val="28"/>
          <w:szCs w:val="28"/>
        </w:rPr>
        <w:t>:</w:t>
      </w:r>
    </w:p>
    <w:p w14:paraId="0B77FBCE" w14:textId="77777777" w:rsidR="008D6CC6" w:rsidRPr="003324E8" w:rsidRDefault="008D6CC6" w:rsidP="002B01E5">
      <w:pPr>
        <w:pStyle w:val="a3"/>
        <w:numPr>
          <w:ilvl w:val="0"/>
          <w:numId w:val="8"/>
        </w:numPr>
        <w:spacing w:afterLines="50" w:after="180" w:line="440" w:lineRule="exact"/>
        <w:ind w:leftChars="0" w:hanging="11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曾任司法院大法官一任以上，聲譽卓著者。</w:t>
      </w:r>
    </w:p>
    <w:p w14:paraId="4ED38C70" w14:textId="5F5CACB6" w:rsidR="008D6CC6" w:rsidRPr="003324E8" w:rsidRDefault="00131D2F" w:rsidP="00131D2F">
      <w:pPr>
        <w:pStyle w:val="a3"/>
        <w:numPr>
          <w:ilvl w:val="0"/>
          <w:numId w:val="8"/>
        </w:numPr>
        <w:spacing w:afterLines="50" w:after="180" w:line="440" w:lineRule="exact"/>
        <w:ind w:leftChars="0" w:left="1418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曾任各級法院法官或各級法院檢察署檢察官十年以上者。</w:t>
      </w:r>
    </w:p>
    <w:p w14:paraId="24BF7E3B" w14:textId="699A6957" w:rsidR="008D6CC6" w:rsidRPr="003324E8" w:rsidRDefault="008E12C8" w:rsidP="002B01E5">
      <w:pPr>
        <w:pStyle w:val="a3"/>
        <w:numPr>
          <w:ilvl w:val="0"/>
          <w:numId w:val="8"/>
        </w:numPr>
        <w:spacing w:afterLines="50" w:after="180" w:line="440" w:lineRule="exact"/>
        <w:ind w:leftChars="0" w:left="1418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（曾）</w:t>
      </w:r>
      <w:r w:rsidR="008D6CC6" w:rsidRPr="003324E8">
        <w:rPr>
          <w:rFonts w:ascii="標楷體" w:eastAsia="標楷體" w:hAnsi="標楷體" w:hint="eastAsia"/>
          <w:bCs/>
          <w:sz w:val="28"/>
          <w:szCs w:val="28"/>
        </w:rPr>
        <w:t>任大學</w:t>
      </w:r>
      <w:r w:rsidR="007E7AA7" w:rsidRPr="003324E8">
        <w:rPr>
          <w:rFonts w:ascii="標楷體" w:eastAsia="標楷體" w:hAnsi="標楷體" w:hint="eastAsia"/>
          <w:bCs/>
          <w:sz w:val="28"/>
          <w:szCs w:val="28"/>
        </w:rPr>
        <w:t>校院</w:t>
      </w:r>
      <w:r w:rsidR="00DE59C9" w:rsidRPr="003324E8">
        <w:rPr>
          <w:rFonts w:ascii="標楷體" w:eastAsia="標楷體" w:hAnsi="標楷體" w:hint="eastAsia"/>
          <w:bCs/>
          <w:sz w:val="28"/>
          <w:szCs w:val="28"/>
        </w:rPr>
        <w:t>教授、</w:t>
      </w:r>
      <w:r w:rsidR="008D6CC6" w:rsidRPr="003324E8">
        <w:rPr>
          <w:rFonts w:ascii="標楷體" w:eastAsia="標楷體" w:hAnsi="標楷體" w:hint="eastAsia"/>
          <w:bCs/>
          <w:sz w:val="28"/>
          <w:szCs w:val="28"/>
        </w:rPr>
        <w:t>副教授</w:t>
      </w:r>
      <w:r w:rsidR="00DE59C9" w:rsidRPr="003324E8">
        <w:rPr>
          <w:rFonts w:ascii="標楷體" w:eastAsia="標楷體" w:hAnsi="標楷體" w:hint="eastAsia"/>
          <w:bCs/>
          <w:sz w:val="28"/>
          <w:szCs w:val="28"/>
        </w:rPr>
        <w:t>五年以上</w:t>
      </w:r>
      <w:r w:rsidR="008D6CC6" w:rsidRPr="003324E8">
        <w:rPr>
          <w:rFonts w:ascii="標楷體" w:eastAsia="標楷體" w:hAnsi="標楷體" w:hint="eastAsia"/>
          <w:bCs/>
          <w:sz w:val="28"/>
          <w:szCs w:val="28"/>
        </w:rPr>
        <w:t>，以法律相關領域者尤佳。</w:t>
      </w:r>
    </w:p>
    <w:p w14:paraId="615A533B" w14:textId="77777777" w:rsidR="008D6CC6" w:rsidRPr="003324E8" w:rsidRDefault="008D6CC6" w:rsidP="002B01E5">
      <w:pPr>
        <w:pStyle w:val="a3"/>
        <w:numPr>
          <w:ilvl w:val="0"/>
          <w:numId w:val="8"/>
        </w:numPr>
        <w:spacing w:afterLines="50" w:after="180" w:line="440" w:lineRule="exact"/>
        <w:ind w:leftChars="0" w:hanging="11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具</w:t>
      </w:r>
      <w:r w:rsidRPr="003324E8">
        <w:rPr>
          <w:rFonts w:ascii="標楷體" w:eastAsia="標楷體" w:hAnsi="標楷體"/>
          <w:bCs/>
          <w:sz w:val="28"/>
          <w:szCs w:val="28"/>
        </w:rPr>
        <w:t>律師資格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，執行業務十年以上，聲譽卓著者。</w:t>
      </w:r>
    </w:p>
    <w:p w14:paraId="6137E84E" w14:textId="68E88A92" w:rsidR="008D6CC6" w:rsidRPr="003324E8" w:rsidRDefault="008D6CC6" w:rsidP="002B7655">
      <w:pPr>
        <w:pStyle w:val="a3"/>
        <w:numPr>
          <w:ilvl w:val="0"/>
          <w:numId w:val="8"/>
        </w:numPr>
        <w:spacing w:afterLines="50" w:after="180" w:line="440" w:lineRule="exact"/>
        <w:ind w:leftChars="0" w:left="1418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現任或曾任公務人員簡任職務滿十年以上</w:t>
      </w:r>
      <w:r w:rsidR="005741A8" w:rsidRPr="003324E8">
        <w:rPr>
          <w:rFonts w:ascii="標楷體" w:eastAsia="標楷體" w:hAnsi="標楷體" w:hint="eastAsia"/>
          <w:bCs/>
          <w:sz w:val="28"/>
          <w:szCs w:val="28"/>
        </w:rPr>
        <w:t>者</w:t>
      </w:r>
      <w:r w:rsidR="008E4C6D" w:rsidRPr="003324E8">
        <w:rPr>
          <w:rFonts w:ascii="標楷體" w:eastAsia="標楷體" w:hAnsi="標楷體" w:hint="eastAsia"/>
          <w:bCs/>
          <w:sz w:val="28"/>
          <w:szCs w:val="28"/>
        </w:rPr>
        <w:t>，富有豐富行政經驗者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38D7EB6D" w14:textId="492DD0BA" w:rsidR="008D6CC6" w:rsidRPr="003324E8" w:rsidRDefault="004C0A81" w:rsidP="002B01E5">
      <w:pPr>
        <w:pStyle w:val="a3"/>
        <w:numPr>
          <w:ilvl w:val="0"/>
          <w:numId w:val="8"/>
        </w:numPr>
        <w:spacing w:afterLines="50" w:after="180" w:line="440" w:lineRule="exact"/>
        <w:ind w:leftChars="0" w:left="1418" w:hanging="709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熟稔行政程序</w:t>
      </w:r>
      <w:r w:rsidR="006501FC" w:rsidRPr="003324E8">
        <w:rPr>
          <w:rFonts w:ascii="標楷體" w:eastAsia="標楷體" w:hAnsi="標楷體" w:hint="eastAsia"/>
          <w:bCs/>
          <w:sz w:val="28"/>
          <w:szCs w:val="28"/>
        </w:rPr>
        <w:t>實務及</w:t>
      </w:r>
      <w:r w:rsidRPr="003324E8">
        <w:rPr>
          <w:rFonts w:ascii="標楷體" w:eastAsia="標楷體" w:hAnsi="標楷體" w:hint="eastAsia"/>
          <w:bCs/>
          <w:sz w:val="28"/>
          <w:szCs w:val="28"/>
        </w:rPr>
        <w:t>法規</w:t>
      </w:r>
      <w:r w:rsidR="008B7525" w:rsidRPr="003324E8">
        <w:rPr>
          <w:rFonts w:ascii="標楷體" w:eastAsia="標楷體" w:hAnsi="標楷體" w:hint="eastAsia"/>
          <w:bCs/>
          <w:sz w:val="28"/>
          <w:szCs w:val="28"/>
        </w:rPr>
        <w:t>，</w:t>
      </w:r>
      <w:r w:rsidR="00FE4F0F" w:rsidRPr="003324E8">
        <w:rPr>
          <w:rFonts w:ascii="標楷體" w:eastAsia="標楷體" w:hAnsi="標楷體" w:hint="eastAsia"/>
          <w:sz w:val="28"/>
          <w:szCs w:val="28"/>
        </w:rPr>
        <w:t>並有處理程序問題</w:t>
      </w:r>
      <w:r w:rsidR="00726701" w:rsidRPr="003324E8">
        <w:rPr>
          <w:rFonts w:ascii="標楷體" w:eastAsia="標楷體" w:hAnsi="標楷體" w:hint="eastAsia"/>
          <w:sz w:val="28"/>
          <w:szCs w:val="28"/>
        </w:rPr>
        <w:t>之</w:t>
      </w:r>
      <w:r w:rsidR="00FE4F0F" w:rsidRPr="003324E8">
        <w:rPr>
          <w:rFonts w:ascii="標楷體" w:eastAsia="標楷體" w:hAnsi="標楷體" w:hint="eastAsia"/>
          <w:sz w:val="28"/>
          <w:szCs w:val="28"/>
        </w:rPr>
        <w:t>專業與經驗</w:t>
      </w:r>
      <w:r w:rsidR="004670AE" w:rsidRPr="003324E8">
        <w:rPr>
          <w:rFonts w:ascii="標楷體" w:eastAsia="標楷體" w:hAnsi="標楷體" w:hint="eastAsia"/>
          <w:sz w:val="28"/>
          <w:szCs w:val="28"/>
        </w:rPr>
        <w:t>者</w:t>
      </w:r>
      <w:r w:rsidR="008D6CC6" w:rsidRPr="003324E8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329D2D5" w14:textId="77777777" w:rsidR="000613AF" w:rsidRPr="003324E8" w:rsidRDefault="00C105B4" w:rsidP="000613AF">
      <w:pPr>
        <w:pStyle w:val="a3"/>
        <w:numPr>
          <w:ilvl w:val="0"/>
          <w:numId w:val="7"/>
        </w:numPr>
        <w:spacing w:afterLines="50" w:after="18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為</w:t>
      </w:r>
      <w:r w:rsidR="005741A8" w:rsidRPr="003324E8">
        <w:rPr>
          <w:rFonts w:ascii="標楷體" w:eastAsia="標楷體" w:hAnsi="標楷體" w:hint="eastAsia"/>
          <w:bCs/>
          <w:sz w:val="28"/>
          <w:szCs w:val="28"/>
        </w:rPr>
        <w:t>使聽證符合公信超然原則，內政部都市計畫委員會</w:t>
      </w:r>
      <w:r w:rsidR="00017CFF" w:rsidRPr="003324E8">
        <w:rPr>
          <w:rFonts w:ascii="標楷體" w:eastAsia="標楷體" w:hAnsi="標楷體" w:hint="eastAsia"/>
          <w:bCs/>
          <w:sz w:val="28"/>
          <w:szCs w:val="28"/>
        </w:rPr>
        <w:t>、</w:t>
      </w:r>
      <w:r w:rsidR="005741A8" w:rsidRPr="003324E8">
        <w:rPr>
          <w:rFonts w:ascii="標楷體" w:eastAsia="標楷體" w:hAnsi="標楷體" w:hint="eastAsia"/>
          <w:bCs/>
          <w:sz w:val="28"/>
          <w:szCs w:val="28"/>
        </w:rPr>
        <w:t>區域計畫委員會</w:t>
      </w:r>
      <w:r w:rsidR="00017CFF" w:rsidRPr="003324E8">
        <w:rPr>
          <w:rFonts w:ascii="標楷體" w:eastAsia="標楷體" w:hAnsi="標楷體" w:hint="eastAsia"/>
          <w:bCs/>
          <w:sz w:val="28"/>
          <w:szCs w:val="28"/>
        </w:rPr>
        <w:t>及土地徵收審議小組</w:t>
      </w:r>
      <w:r w:rsidR="005741A8" w:rsidRPr="003324E8">
        <w:rPr>
          <w:rFonts w:ascii="標楷體" w:eastAsia="標楷體" w:hAnsi="標楷體" w:hint="eastAsia"/>
          <w:bCs/>
          <w:sz w:val="28"/>
          <w:szCs w:val="28"/>
        </w:rPr>
        <w:t>現任委員均不列入聽證主持人人選名單。</w:t>
      </w:r>
    </w:p>
    <w:p w14:paraId="3D2412D0" w14:textId="368A0F98" w:rsidR="008D6CC6" w:rsidRPr="003324E8" w:rsidRDefault="00F63799" w:rsidP="000613AF">
      <w:pPr>
        <w:pStyle w:val="a3"/>
        <w:numPr>
          <w:ilvl w:val="0"/>
          <w:numId w:val="6"/>
        </w:numPr>
        <w:spacing w:beforeLines="20" w:before="72" w:afterLines="50" w:after="180"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3324E8">
        <w:rPr>
          <w:rFonts w:ascii="標楷體" w:eastAsia="標楷體" w:hAnsi="標楷體" w:hint="eastAsia"/>
          <w:bCs/>
          <w:sz w:val="28"/>
          <w:szCs w:val="28"/>
        </w:rPr>
        <w:t>主要工作內容</w:t>
      </w:r>
    </w:p>
    <w:p w14:paraId="55073667" w14:textId="719D36EF" w:rsidR="004D5F7F" w:rsidRPr="003324E8" w:rsidRDefault="004D5F7F" w:rsidP="002B01E5">
      <w:pPr>
        <w:pStyle w:val="a3"/>
        <w:numPr>
          <w:ilvl w:val="0"/>
          <w:numId w:val="9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324E8">
        <w:rPr>
          <w:rFonts w:ascii="標楷體" w:eastAsia="標楷體" w:hAnsi="標楷體" w:hint="eastAsia"/>
          <w:kern w:val="0"/>
          <w:sz w:val="28"/>
          <w:szCs w:val="28"/>
        </w:rPr>
        <w:t>針對受理案件，應於聽證前閱讀資料，並視案情需要查訪現場以了解案情。</w:t>
      </w:r>
    </w:p>
    <w:p w14:paraId="7F3992B6" w14:textId="6F554CD5" w:rsidR="005F1F18" w:rsidRPr="003324E8" w:rsidRDefault="00B60001" w:rsidP="004D5F7F">
      <w:pPr>
        <w:pStyle w:val="a3"/>
        <w:numPr>
          <w:ilvl w:val="0"/>
          <w:numId w:val="9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324E8">
        <w:rPr>
          <w:rFonts w:ascii="標楷體" w:eastAsia="標楷體" w:hAnsi="標楷體" w:hint="eastAsia"/>
          <w:kern w:val="0"/>
          <w:sz w:val="28"/>
          <w:szCs w:val="28"/>
        </w:rPr>
        <w:t>參與內政部所辦理</w:t>
      </w:r>
      <w:r w:rsidR="007B5560" w:rsidRPr="003324E8">
        <w:rPr>
          <w:rFonts w:ascii="標楷體" w:eastAsia="標楷體" w:hAnsi="標楷體" w:hint="eastAsia"/>
          <w:kern w:val="0"/>
          <w:sz w:val="28"/>
          <w:szCs w:val="28"/>
        </w:rPr>
        <w:t>之相關</w:t>
      </w:r>
      <w:r w:rsidRPr="003324E8">
        <w:rPr>
          <w:rFonts w:ascii="標楷體" w:eastAsia="標楷體" w:hAnsi="標楷體" w:hint="eastAsia"/>
          <w:kern w:val="0"/>
          <w:sz w:val="28"/>
          <w:szCs w:val="28"/>
        </w:rPr>
        <w:t>聽證</w:t>
      </w:r>
      <w:r w:rsidR="004D5F7F" w:rsidRPr="003324E8">
        <w:rPr>
          <w:rFonts w:ascii="標楷體" w:eastAsia="標楷體" w:hAnsi="標楷體" w:hint="eastAsia"/>
          <w:kern w:val="0"/>
          <w:sz w:val="28"/>
          <w:szCs w:val="28"/>
        </w:rPr>
        <w:t>程序與作法研習</w:t>
      </w:r>
      <w:r w:rsidR="007B5560" w:rsidRPr="003324E8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5F1F18" w:rsidRPr="003324E8">
        <w:rPr>
          <w:rFonts w:ascii="標楷體" w:eastAsia="標楷體" w:hAnsi="標楷體" w:hint="eastAsia"/>
          <w:kern w:val="0"/>
          <w:sz w:val="28"/>
          <w:szCs w:val="28"/>
        </w:rPr>
        <w:t>並藉此平台進</w:t>
      </w:r>
      <w:r w:rsidR="005F1F18" w:rsidRPr="003324E8">
        <w:rPr>
          <w:rFonts w:ascii="標楷體" w:eastAsia="標楷體" w:hAnsi="標楷體" w:hint="eastAsia"/>
          <w:kern w:val="0"/>
          <w:sz w:val="28"/>
          <w:szCs w:val="28"/>
        </w:rPr>
        <w:lastRenderedPageBreak/>
        <w:t>行</w:t>
      </w:r>
      <w:r w:rsidR="007B5560" w:rsidRPr="003324E8">
        <w:rPr>
          <w:rFonts w:ascii="標楷體" w:eastAsia="標楷體" w:hAnsi="標楷體" w:hint="eastAsia"/>
          <w:kern w:val="0"/>
          <w:sz w:val="28"/>
          <w:szCs w:val="28"/>
        </w:rPr>
        <w:t>經驗</w:t>
      </w:r>
      <w:r w:rsidR="005F1F18" w:rsidRPr="003324E8">
        <w:rPr>
          <w:rFonts w:ascii="標楷體" w:eastAsia="標楷體" w:hAnsi="標楷體" w:hint="eastAsia"/>
          <w:kern w:val="0"/>
          <w:sz w:val="28"/>
          <w:szCs w:val="28"/>
        </w:rPr>
        <w:t>交流</w:t>
      </w:r>
      <w:r w:rsidR="004D5F7F" w:rsidRPr="003324E8">
        <w:rPr>
          <w:rFonts w:ascii="標楷體" w:eastAsia="標楷體" w:hAnsi="標楷體" w:hint="eastAsia"/>
          <w:kern w:val="0"/>
          <w:sz w:val="28"/>
          <w:szCs w:val="28"/>
        </w:rPr>
        <w:t>分享</w:t>
      </w:r>
      <w:r w:rsidR="007B5560" w:rsidRPr="003324E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2CF699C8" w14:textId="7DE20670" w:rsidR="0097788A" w:rsidRPr="003324E8" w:rsidRDefault="004C75D8" w:rsidP="002B01E5">
      <w:pPr>
        <w:pStyle w:val="a3"/>
        <w:numPr>
          <w:ilvl w:val="0"/>
          <w:numId w:val="9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324E8">
        <w:rPr>
          <w:rFonts w:ascii="標楷體" w:eastAsia="標楷體" w:hAnsi="標楷體" w:hint="eastAsia"/>
          <w:kern w:val="0"/>
          <w:sz w:val="28"/>
          <w:szCs w:val="28"/>
        </w:rPr>
        <w:t>應本中立公正之立場</w:t>
      </w:r>
      <w:r w:rsidR="004D5F7F" w:rsidRPr="003324E8">
        <w:rPr>
          <w:rFonts w:ascii="標楷體" w:eastAsia="標楷體" w:hAnsi="標楷體" w:hint="eastAsia"/>
          <w:kern w:val="0"/>
          <w:sz w:val="28"/>
          <w:szCs w:val="28"/>
        </w:rPr>
        <w:t>，充分</w:t>
      </w:r>
      <w:r w:rsidR="0097788A" w:rsidRPr="003324E8">
        <w:rPr>
          <w:rFonts w:ascii="標楷體" w:eastAsia="標楷體" w:hAnsi="標楷體" w:hint="eastAsia"/>
          <w:kern w:val="0"/>
          <w:sz w:val="28"/>
          <w:szCs w:val="28"/>
        </w:rPr>
        <w:t>掌握會場程序</w:t>
      </w:r>
      <w:r w:rsidR="00CF1C71" w:rsidRPr="003324E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3894420A" w14:textId="76B2951F" w:rsidR="00CF1C71" w:rsidRPr="003324E8" w:rsidRDefault="00CF1C71" w:rsidP="002B01E5">
      <w:pPr>
        <w:pStyle w:val="a3"/>
        <w:numPr>
          <w:ilvl w:val="0"/>
          <w:numId w:val="9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324E8">
        <w:rPr>
          <w:rFonts w:ascii="標楷體" w:eastAsia="標楷體" w:hAnsi="標楷體" w:hint="eastAsia"/>
          <w:kern w:val="0"/>
          <w:sz w:val="28"/>
          <w:szCs w:val="28"/>
        </w:rPr>
        <w:t>聽證</w:t>
      </w:r>
      <w:r w:rsidR="004D5F7F" w:rsidRPr="003324E8">
        <w:rPr>
          <w:rFonts w:ascii="標楷體" w:eastAsia="標楷體" w:hAnsi="標楷體" w:hint="eastAsia"/>
          <w:kern w:val="0"/>
          <w:sz w:val="28"/>
          <w:szCs w:val="28"/>
        </w:rPr>
        <w:t>結束</w:t>
      </w:r>
      <w:r w:rsidR="00EB13E0" w:rsidRPr="003324E8">
        <w:rPr>
          <w:rFonts w:ascii="標楷體" w:eastAsia="標楷體" w:hAnsi="標楷體" w:hint="eastAsia"/>
          <w:kern w:val="0"/>
          <w:sz w:val="28"/>
          <w:szCs w:val="28"/>
        </w:rPr>
        <w:t>後</w:t>
      </w:r>
      <w:r w:rsidR="004D5F7F" w:rsidRPr="003324E8">
        <w:rPr>
          <w:rFonts w:ascii="標楷體" w:eastAsia="標楷體" w:hAnsi="標楷體" w:hint="eastAsia"/>
          <w:kern w:val="0"/>
          <w:sz w:val="28"/>
          <w:szCs w:val="28"/>
        </w:rPr>
        <w:t>總結</w:t>
      </w:r>
      <w:r w:rsidR="00A37073" w:rsidRPr="003324E8">
        <w:rPr>
          <w:rFonts w:ascii="標楷體" w:eastAsia="標楷體" w:hAnsi="標楷體" w:hint="eastAsia"/>
          <w:kern w:val="0"/>
          <w:sz w:val="28"/>
          <w:szCs w:val="28"/>
        </w:rPr>
        <w:t>意見</w:t>
      </w:r>
      <w:r w:rsidR="001B13F0" w:rsidRPr="003324E8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F1906ED" w14:textId="25338B00" w:rsidR="008D6CC6" w:rsidRPr="003324E8" w:rsidRDefault="00BF4468" w:rsidP="00B66854">
      <w:pPr>
        <w:pStyle w:val="a3"/>
        <w:numPr>
          <w:ilvl w:val="0"/>
          <w:numId w:val="9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3324E8">
        <w:rPr>
          <w:rFonts w:ascii="標楷體" w:eastAsia="標楷體" w:hAnsi="標楷體" w:hint="eastAsia"/>
          <w:kern w:val="0"/>
          <w:sz w:val="28"/>
          <w:szCs w:val="28"/>
        </w:rPr>
        <w:t>聽證</w:t>
      </w:r>
      <w:r w:rsidR="00AB2964" w:rsidRPr="003324E8">
        <w:rPr>
          <w:rFonts w:ascii="標楷體" w:eastAsia="標楷體" w:hAnsi="標楷體" w:hint="eastAsia"/>
          <w:kern w:val="0"/>
          <w:sz w:val="28"/>
          <w:szCs w:val="28"/>
        </w:rPr>
        <w:t>主持人重在公益奉獻，報酬原則上以</w:t>
      </w:r>
      <w:r w:rsidR="00B66854" w:rsidRPr="003324E8">
        <w:rPr>
          <w:rFonts w:ascii="標楷體" w:eastAsia="標楷體" w:hAnsi="標楷體" w:hint="eastAsia"/>
          <w:kern w:val="0"/>
          <w:sz w:val="28"/>
          <w:szCs w:val="28"/>
        </w:rPr>
        <w:t>案</w:t>
      </w:r>
      <w:r w:rsidR="00AB2964" w:rsidRPr="003324E8">
        <w:rPr>
          <w:rFonts w:ascii="標楷體" w:eastAsia="標楷體" w:hAnsi="標楷體" w:hint="eastAsia"/>
          <w:kern w:val="0"/>
          <w:sz w:val="28"/>
          <w:szCs w:val="28"/>
        </w:rPr>
        <w:t>為單位，包括資料閱讀、主持及撰寫，</w:t>
      </w:r>
      <w:r w:rsidR="00B66854" w:rsidRPr="003324E8">
        <w:rPr>
          <w:rFonts w:ascii="標楷體" w:eastAsia="標楷體" w:hAnsi="標楷體" w:hint="eastAsia"/>
          <w:kern w:val="0"/>
          <w:sz w:val="28"/>
          <w:szCs w:val="28"/>
        </w:rPr>
        <w:t>1案新臺幣1萬元，如該案仍需辦理後續聽證者，後續聽證之主持費參照「軍公教人員兼職費及講座鐘點費支給規定」，依實際主持時間支給鐘點費（1小時新臺幣1,600元，未滿者減半支給），最高同案支給費用以新臺幣2萬元為上限；另交通費部分，遠道（30公里以上）者另參照「國內出差旅費報支要點」核實支付交通費。</w:t>
      </w:r>
    </w:p>
    <w:p w14:paraId="70220395" w14:textId="77777777" w:rsidR="002B7655" w:rsidRPr="003324E8" w:rsidRDefault="002B7655" w:rsidP="002B7655">
      <w:pPr>
        <w:pStyle w:val="a3"/>
        <w:numPr>
          <w:ilvl w:val="0"/>
          <w:numId w:val="6"/>
        </w:numPr>
        <w:spacing w:beforeLines="20" w:before="72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推(自)薦日期與方式</w:t>
      </w:r>
    </w:p>
    <w:p w14:paraId="3DD10D97" w14:textId="77777777" w:rsidR="002B7655" w:rsidRPr="003324E8" w:rsidRDefault="002B7655" w:rsidP="002B7655">
      <w:pPr>
        <w:pStyle w:val="a3"/>
        <w:numPr>
          <w:ilvl w:val="0"/>
          <w:numId w:val="12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推(自)薦日期：105年8月20日至9月4日23時59分止。</w:t>
      </w:r>
    </w:p>
    <w:p w14:paraId="19EDA6A5" w14:textId="31DACC2E" w:rsidR="002B7655" w:rsidRPr="003324E8" w:rsidRDefault="002B7655" w:rsidP="002B7655">
      <w:pPr>
        <w:pStyle w:val="a3"/>
        <w:numPr>
          <w:ilvl w:val="0"/>
          <w:numId w:val="12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推(自)薦方式：得於內政部官網或臉書下載推(自)薦表，以emai</w:t>
      </w:r>
      <w:r w:rsidRPr="003324E8">
        <w:rPr>
          <w:rFonts w:ascii="標楷體" w:eastAsia="標楷體" w:hAnsi="標楷體"/>
          <w:sz w:val="28"/>
          <w:szCs w:val="28"/>
        </w:rPr>
        <w:t>l</w:t>
      </w:r>
      <w:r w:rsidRPr="003324E8">
        <w:rPr>
          <w:rFonts w:ascii="標楷體" w:eastAsia="標楷體" w:hAnsi="標楷體" w:hint="eastAsia"/>
          <w:sz w:val="28"/>
          <w:szCs w:val="28"/>
        </w:rPr>
        <w:t>(傳送至</w:t>
      </w:r>
      <w:r w:rsidRPr="003324E8">
        <w:rPr>
          <w:rFonts w:ascii="標楷體" w:eastAsia="標楷體" w:hAnsi="標楷體"/>
          <w:sz w:val="28"/>
          <w:szCs w:val="28"/>
        </w:rPr>
        <w:t>moi1655@moi.gov.tw</w:t>
      </w:r>
      <w:r w:rsidRPr="003324E8">
        <w:rPr>
          <w:rFonts w:ascii="標楷體" w:eastAsia="標楷體" w:hAnsi="標楷體" w:hint="eastAsia"/>
          <w:sz w:val="28"/>
          <w:szCs w:val="28"/>
        </w:rPr>
        <w:t>或moi1489@</w:t>
      </w:r>
      <w:r w:rsidRPr="003324E8">
        <w:rPr>
          <w:rFonts w:ascii="標楷體" w:eastAsia="標楷體" w:hAnsi="標楷體"/>
          <w:sz w:val="28"/>
          <w:szCs w:val="28"/>
        </w:rPr>
        <w:t>moi.gov.tw)</w:t>
      </w:r>
      <w:r w:rsidRPr="003324E8">
        <w:rPr>
          <w:rFonts w:ascii="標楷體" w:eastAsia="標楷體" w:hAnsi="標楷體" w:hint="eastAsia"/>
          <w:sz w:val="28"/>
          <w:szCs w:val="28"/>
        </w:rPr>
        <w:t>或郵寄至內政部秘書室(10055臺北市中正區徐州路5號8樓)</w:t>
      </w:r>
    </w:p>
    <w:p w14:paraId="4D1EC994" w14:textId="77777777" w:rsidR="002B7655" w:rsidRPr="003324E8" w:rsidRDefault="002B7655" w:rsidP="002B7655">
      <w:pPr>
        <w:pStyle w:val="a3"/>
        <w:numPr>
          <w:ilvl w:val="0"/>
          <w:numId w:val="6"/>
        </w:numPr>
        <w:spacing w:beforeLines="20" w:before="72" w:afterLines="50" w:after="180"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其他事項</w:t>
      </w:r>
    </w:p>
    <w:p w14:paraId="5C9DE2D3" w14:textId="77777777" w:rsidR="002B7655" w:rsidRPr="003324E8" w:rsidRDefault="002B7655" w:rsidP="002B7655">
      <w:pPr>
        <w:pStyle w:val="a3"/>
        <w:numPr>
          <w:ilvl w:val="0"/>
          <w:numId w:val="13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本推(自)薦表所蒐集之個人資料，將依據個人資料保護法規定，主要針對本遴選之目的進行蒐集、處理、利用。</w:t>
      </w:r>
    </w:p>
    <w:p w14:paraId="1D1E5E4A" w14:textId="77777777" w:rsidR="002B7655" w:rsidRPr="003324E8" w:rsidRDefault="002B7655" w:rsidP="002B7655">
      <w:pPr>
        <w:pStyle w:val="a3"/>
        <w:numPr>
          <w:ilvl w:val="0"/>
          <w:numId w:val="13"/>
        </w:numPr>
        <w:kinsoku w:val="0"/>
        <w:overflowPunct w:val="0"/>
        <w:spacing w:afterLines="50" w:after="180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若對於推(自)薦有任何疑義，歡迎來電或email詢問。</w:t>
      </w:r>
    </w:p>
    <w:p w14:paraId="77FD824E" w14:textId="77777777" w:rsidR="002B7655" w:rsidRPr="003324E8" w:rsidRDefault="002B7655" w:rsidP="002B7655">
      <w:pPr>
        <w:pStyle w:val="a3"/>
        <w:kinsoku w:val="0"/>
        <w:overflowPunct w:val="0"/>
        <w:spacing w:afterLines="50" w:after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聯絡窗口：</w:t>
      </w:r>
    </w:p>
    <w:p w14:paraId="3E45EA21" w14:textId="3FAED2FE" w:rsidR="00F328A1" w:rsidRDefault="002B7655" w:rsidP="002B7655">
      <w:pPr>
        <w:pStyle w:val="a3"/>
        <w:kinsoku w:val="0"/>
        <w:overflowPunct w:val="0"/>
        <w:spacing w:afterLines="50" w:after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3324E8">
        <w:rPr>
          <w:rFonts w:ascii="標楷體" w:eastAsia="標楷體" w:hAnsi="標楷體" w:hint="eastAsia"/>
          <w:sz w:val="28"/>
          <w:szCs w:val="28"/>
        </w:rPr>
        <w:t>鄭嘉君，電話02-23565039、電子郵件:moi1655@</w:t>
      </w:r>
      <w:r w:rsidRPr="003324E8">
        <w:rPr>
          <w:rFonts w:ascii="標楷體" w:eastAsia="標楷體" w:hAnsi="標楷體"/>
          <w:sz w:val="28"/>
          <w:szCs w:val="28"/>
        </w:rPr>
        <w:t>moi.</w:t>
      </w:r>
      <w:r w:rsidRPr="003324E8">
        <w:rPr>
          <w:rFonts w:ascii="標楷體" w:eastAsia="標楷體" w:hAnsi="標楷體" w:hint="eastAsia"/>
          <w:sz w:val="28"/>
          <w:szCs w:val="28"/>
        </w:rPr>
        <w:t>gov.</w:t>
      </w:r>
      <w:r w:rsidRPr="003324E8">
        <w:rPr>
          <w:rFonts w:ascii="標楷體" w:eastAsia="標楷體" w:hAnsi="標楷體"/>
          <w:sz w:val="28"/>
          <w:szCs w:val="28"/>
        </w:rPr>
        <w:t>tw</w:t>
      </w:r>
      <w:r w:rsidRPr="003324E8">
        <w:rPr>
          <w:rFonts w:ascii="標楷體" w:eastAsia="標楷體" w:hAnsi="標楷體" w:hint="eastAsia"/>
          <w:sz w:val="28"/>
          <w:szCs w:val="28"/>
        </w:rPr>
        <w:t>李蕙芬，電話02-23565312、電子郵件:moi1489@moi.gov.tw</w:t>
      </w:r>
    </w:p>
    <w:p w14:paraId="6389E270" w14:textId="3BC0D122" w:rsidR="005F16DC" w:rsidRDefault="005F16D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CB4FDCD" w14:textId="73B6B6DF" w:rsidR="005F16DC" w:rsidRPr="005D26DE" w:rsidRDefault="005F16DC" w:rsidP="005F16D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5D26DE">
        <w:rPr>
          <w:rFonts w:ascii="標楷體" w:eastAsia="標楷體" w:hAnsi="標楷體" w:hint="eastAsia"/>
          <w:b/>
          <w:sz w:val="36"/>
          <w:szCs w:val="36"/>
        </w:rPr>
        <w:lastRenderedPageBreak/>
        <w:t>內政部</w:t>
      </w:r>
      <w:r>
        <w:rPr>
          <w:rFonts w:ascii="標楷體" w:eastAsia="標楷體" w:hAnsi="標楷體"/>
          <w:b/>
          <w:sz w:val="36"/>
          <w:szCs w:val="36"/>
        </w:rPr>
        <w:t>聽證</w:t>
      </w:r>
      <w:r w:rsidRPr="005D26DE">
        <w:rPr>
          <w:rFonts w:ascii="標楷體" w:eastAsia="標楷體" w:hAnsi="標楷體"/>
          <w:b/>
          <w:sz w:val="36"/>
          <w:szCs w:val="36"/>
        </w:rPr>
        <w:t>主持人推</w:t>
      </w:r>
      <w:r w:rsidRPr="005D26DE">
        <w:rPr>
          <w:rFonts w:ascii="標楷體" w:eastAsia="標楷體" w:hAnsi="標楷體" w:hint="eastAsia"/>
          <w:b/>
          <w:sz w:val="36"/>
          <w:szCs w:val="36"/>
        </w:rPr>
        <w:t>（自）</w:t>
      </w:r>
      <w:r w:rsidRPr="005D26DE">
        <w:rPr>
          <w:rFonts w:ascii="標楷體" w:eastAsia="標楷體" w:hAnsi="標楷體"/>
          <w:b/>
          <w:sz w:val="36"/>
          <w:szCs w:val="36"/>
        </w:rPr>
        <w:t>薦</w:t>
      </w:r>
      <w:r w:rsidRPr="005D26DE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1803"/>
        <w:gridCol w:w="153"/>
        <w:gridCol w:w="992"/>
        <w:gridCol w:w="851"/>
        <w:gridCol w:w="119"/>
        <w:gridCol w:w="2115"/>
      </w:tblGrid>
      <w:tr w:rsidR="005F16DC" w14:paraId="69D98141" w14:textId="77777777" w:rsidTr="00080D4E">
        <w:tc>
          <w:tcPr>
            <w:tcW w:w="2263" w:type="dxa"/>
          </w:tcPr>
          <w:p w14:paraId="567989FF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033" w:type="dxa"/>
            <w:gridSpan w:val="6"/>
          </w:tcPr>
          <w:p w14:paraId="0FAFE464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5EF55FE5" w14:textId="77777777" w:rsidTr="00080D4E">
        <w:tc>
          <w:tcPr>
            <w:tcW w:w="2263" w:type="dxa"/>
          </w:tcPr>
          <w:p w14:paraId="58408BE7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956" w:type="dxa"/>
            <w:gridSpan w:val="2"/>
          </w:tcPr>
          <w:p w14:paraId="3F440F55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14:paraId="310D17BB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234" w:type="dxa"/>
            <w:gridSpan w:val="2"/>
          </w:tcPr>
          <w:p w14:paraId="5E543155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0F53F3DB" w14:textId="77777777" w:rsidTr="00080D4E">
        <w:tc>
          <w:tcPr>
            <w:tcW w:w="2263" w:type="dxa"/>
          </w:tcPr>
          <w:p w14:paraId="066CC21D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6033" w:type="dxa"/>
            <w:gridSpan w:val="6"/>
          </w:tcPr>
          <w:p w14:paraId="155F97EC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3C44FD56" w14:textId="77777777" w:rsidTr="00080D4E">
        <w:tc>
          <w:tcPr>
            <w:tcW w:w="2263" w:type="dxa"/>
          </w:tcPr>
          <w:p w14:paraId="22BED81A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</w:p>
        </w:tc>
        <w:tc>
          <w:tcPr>
            <w:tcW w:w="6033" w:type="dxa"/>
            <w:gridSpan w:val="6"/>
          </w:tcPr>
          <w:p w14:paraId="0E751220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25438947" w14:textId="77777777" w:rsidTr="00080D4E">
        <w:tc>
          <w:tcPr>
            <w:tcW w:w="2263" w:type="dxa"/>
          </w:tcPr>
          <w:p w14:paraId="3DB7B06C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經歷</w:t>
            </w:r>
          </w:p>
        </w:tc>
        <w:tc>
          <w:tcPr>
            <w:tcW w:w="6033" w:type="dxa"/>
            <w:gridSpan w:val="6"/>
          </w:tcPr>
          <w:p w14:paraId="4AF7F374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74347F84" w14:textId="77777777" w:rsidTr="00080D4E">
        <w:trPr>
          <w:trHeight w:val="564"/>
        </w:trPr>
        <w:tc>
          <w:tcPr>
            <w:tcW w:w="2263" w:type="dxa"/>
            <w:vAlign w:val="center"/>
          </w:tcPr>
          <w:p w14:paraId="2AF61DFE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專長</w:t>
            </w:r>
          </w:p>
        </w:tc>
        <w:tc>
          <w:tcPr>
            <w:tcW w:w="1803" w:type="dxa"/>
          </w:tcPr>
          <w:p w14:paraId="3EE971C4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115" w:type="dxa"/>
            <w:gridSpan w:val="4"/>
          </w:tcPr>
          <w:p w14:paraId="1CBE338A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115" w:type="dxa"/>
          </w:tcPr>
          <w:p w14:paraId="47CBE59C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</w:tr>
      <w:tr w:rsidR="005F16DC" w14:paraId="4CD5C981" w14:textId="77777777" w:rsidTr="00080D4E">
        <w:trPr>
          <w:trHeight w:val="2671"/>
        </w:trPr>
        <w:tc>
          <w:tcPr>
            <w:tcW w:w="2263" w:type="dxa"/>
            <w:vAlign w:val="center"/>
          </w:tcPr>
          <w:p w14:paraId="1D0CCFBC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推(自)薦事由</w:t>
            </w:r>
          </w:p>
        </w:tc>
        <w:tc>
          <w:tcPr>
            <w:tcW w:w="6033" w:type="dxa"/>
            <w:gridSpan w:val="6"/>
          </w:tcPr>
          <w:p w14:paraId="0F8A1E9D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40C5332B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14:paraId="6848D30F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5F3C55FC" w14:textId="77777777" w:rsidTr="00080D4E">
        <w:tc>
          <w:tcPr>
            <w:tcW w:w="2263" w:type="dxa"/>
          </w:tcPr>
          <w:p w14:paraId="40A038A6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推薦人姓名(團體名稱)</w:t>
            </w:r>
          </w:p>
        </w:tc>
        <w:tc>
          <w:tcPr>
            <w:tcW w:w="6033" w:type="dxa"/>
            <w:gridSpan w:val="6"/>
          </w:tcPr>
          <w:p w14:paraId="5DAA0987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(如為自薦者無須填寫此欄)</w:t>
            </w:r>
          </w:p>
        </w:tc>
      </w:tr>
      <w:tr w:rsidR="005F16DC" w:rsidRPr="004B28B5" w14:paraId="3DE37701" w14:textId="77777777" w:rsidTr="00080D4E">
        <w:tc>
          <w:tcPr>
            <w:tcW w:w="8296" w:type="dxa"/>
            <w:gridSpan w:val="7"/>
          </w:tcPr>
          <w:p w14:paraId="28BB8B80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4B28B5">
              <w:rPr>
                <w:rFonts w:ascii="標楷體" w:eastAsia="標楷體" w:hAnsi="標楷體" w:hint="eastAsia"/>
                <w:sz w:val="32"/>
                <w:szCs w:val="32"/>
              </w:rPr>
              <w:t>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Pr="004B28B5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r w:rsidRPr="004B28B5">
              <w:rPr>
                <w:rFonts w:ascii="標楷體" w:eastAsia="標楷體" w:hAnsi="標楷體" w:hint="eastAsia"/>
                <w:sz w:val="32"/>
                <w:szCs w:val="32"/>
              </w:rPr>
              <w:t>薦人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</w:tr>
      <w:tr w:rsidR="005F16DC" w14:paraId="4BF26749" w14:textId="77777777" w:rsidTr="00080D4E">
        <w:tc>
          <w:tcPr>
            <w:tcW w:w="2263" w:type="dxa"/>
          </w:tcPr>
          <w:p w14:paraId="5A594278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48" w:type="dxa"/>
            <w:gridSpan w:val="3"/>
          </w:tcPr>
          <w:p w14:paraId="2D57DF05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公:</w:t>
            </w:r>
          </w:p>
        </w:tc>
        <w:tc>
          <w:tcPr>
            <w:tcW w:w="3085" w:type="dxa"/>
            <w:gridSpan w:val="3"/>
          </w:tcPr>
          <w:p w14:paraId="1F138C19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手機:</w:t>
            </w:r>
          </w:p>
        </w:tc>
      </w:tr>
      <w:tr w:rsidR="005F16DC" w14:paraId="5384DF4E" w14:textId="77777777" w:rsidTr="00080D4E">
        <w:tc>
          <w:tcPr>
            <w:tcW w:w="2263" w:type="dxa"/>
          </w:tcPr>
          <w:p w14:paraId="2D712AF2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</w:t>
            </w:r>
          </w:p>
        </w:tc>
        <w:tc>
          <w:tcPr>
            <w:tcW w:w="6033" w:type="dxa"/>
            <w:gridSpan w:val="6"/>
          </w:tcPr>
          <w:p w14:paraId="69894E11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F16DC" w14:paraId="635B972E" w14:textId="77777777" w:rsidTr="00080D4E">
        <w:tc>
          <w:tcPr>
            <w:tcW w:w="2263" w:type="dxa"/>
          </w:tcPr>
          <w:p w14:paraId="2B779A37" w14:textId="77777777" w:rsidR="005F16DC" w:rsidRDefault="005F16DC" w:rsidP="00080D4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聯絡地址</w:t>
            </w:r>
          </w:p>
        </w:tc>
        <w:tc>
          <w:tcPr>
            <w:tcW w:w="6033" w:type="dxa"/>
            <w:gridSpan w:val="6"/>
          </w:tcPr>
          <w:p w14:paraId="2663F285" w14:textId="77777777" w:rsidR="005F16DC" w:rsidRDefault="005F16DC" w:rsidP="00080D4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BC3A8C3" w14:textId="77777777" w:rsidR="005F16DC" w:rsidRDefault="005F16DC" w:rsidP="005F16DC">
      <w:pPr>
        <w:spacing w:beforeLines="50" w:before="180"/>
        <w:jc w:val="center"/>
        <w:rPr>
          <w:rFonts w:ascii="標楷體" w:eastAsia="標楷體" w:hAnsi="標楷體"/>
          <w:sz w:val="32"/>
          <w:szCs w:val="32"/>
          <w:u w:val="thick"/>
        </w:rPr>
      </w:pPr>
      <w:r>
        <w:rPr>
          <w:rFonts w:ascii="標楷體" w:eastAsia="標楷體" w:hAnsi="標楷體" w:hint="eastAsia"/>
          <w:sz w:val="32"/>
          <w:szCs w:val="32"/>
        </w:rPr>
        <w:t>推(自)薦人簽名:</w:t>
      </w:r>
      <w:r w:rsidRPr="00897429">
        <w:rPr>
          <w:rFonts w:ascii="標楷體" w:eastAsia="標楷體" w:hAnsi="標楷體" w:hint="eastAsia"/>
          <w:sz w:val="32"/>
          <w:szCs w:val="32"/>
          <w:u w:val="thick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thick"/>
        </w:rPr>
        <w:t xml:space="preserve">    </w:t>
      </w:r>
    </w:p>
    <w:p w14:paraId="6F23D526" w14:textId="77777777" w:rsidR="005F16DC" w:rsidRPr="003324E8" w:rsidRDefault="005F16DC" w:rsidP="002B7655">
      <w:pPr>
        <w:pStyle w:val="a3"/>
        <w:kinsoku w:val="0"/>
        <w:overflowPunct w:val="0"/>
        <w:spacing w:afterLines="50" w:after="180" w:line="4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sectPr w:rsidR="005F16DC" w:rsidRPr="003324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BB916" w14:textId="77777777" w:rsidR="00B70615" w:rsidRDefault="00B70615" w:rsidP="00D209A1">
      <w:r>
        <w:separator/>
      </w:r>
    </w:p>
  </w:endnote>
  <w:endnote w:type="continuationSeparator" w:id="0">
    <w:p w14:paraId="6DACDDFA" w14:textId="77777777" w:rsidR="00B70615" w:rsidRDefault="00B70615" w:rsidP="00D2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E3DB9" w14:textId="77777777" w:rsidR="00B70615" w:rsidRDefault="00B70615" w:rsidP="00D209A1">
      <w:r>
        <w:separator/>
      </w:r>
    </w:p>
  </w:footnote>
  <w:footnote w:type="continuationSeparator" w:id="0">
    <w:p w14:paraId="28CD4514" w14:textId="77777777" w:rsidR="00B70615" w:rsidRDefault="00B70615" w:rsidP="00D20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EE4"/>
    <w:multiLevelType w:val="hybridMultilevel"/>
    <w:tmpl w:val="0540C24E"/>
    <w:lvl w:ilvl="0" w:tplc="667044B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832C1"/>
    <w:multiLevelType w:val="hybridMultilevel"/>
    <w:tmpl w:val="881E5B8E"/>
    <w:lvl w:ilvl="0" w:tplc="BD6C4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E73E3A"/>
    <w:multiLevelType w:val="hybridMultilevel"/>
    <w:tmpl w:val="17BABA26"/>
    <w:lvl w:ilvl="0" w:tplc="E09419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90491"/>
    <w:multiLevelType w:val="hybridMultilevel"/>
    <w:tmpl w:val="881E5B8E"/>
    <w:lvl w:ilvl="0" w:tplc="BD6C4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241387"/>
    <w:multiLevelType w:val="hybridMultilevel"/>
    <w:tmpl w:val="60FE6A80"/>
    <w:lvl w:ilvl="0" w:tplc="BD6C4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D082FA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653FC4"/>
    <w:multiLevelType w:val="hybridMultilevel"/>
    <w:tmpl w:val="FD682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A90409"/>
    <w:multiLevelType w:val="hybridMultilevel"/>
    <w:tmpl w:val="881E5B8E"/>
    <w:lvl w:ilvl="0" w:tplc="BD6C4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365E19"/>
    <w:multiLevelType w:val="hybridMultilevel"/>
    <w:tmpl w:val="D608ACAC"/>
    <w:lvl w:ilvl="0" w:tplc="21FE8FA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23B23EF"/>
    <w:multiLevelType w:val="hybridMultilevel"/>
    <w:tmpl w:val="5B80A7BC"/>
    <w:lvl w:ilvl="0" w:tplc="476A29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3C57AA"/>
    <w:multiLevelType w:val="hybridMultilevel"/>
    <w:tmpl w:val="881E5B8E"/>
    <w:lvl w:ilvl="0" w:tplc="BD6C4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5E24285"/>
    <w:multiLevelType w:val="hybridMultilevel"/>
    <w:tmpl w:val="47526B64"/>
    <w:lvl w:ilvl="0" w:tplc="50EAAC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0870D0"/>
    <w:multiLevelType w:val="hybridMultilevel"/>
    <w:tmpl w:val="4B9ABF20"/>
    <w:lvl w:ilvl="0" w:tplc="476A299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3F0296"/>
    <w:multiLevelType w:val="hybridMultilevel"/>
    <w:tmpl w:val="05D6291E"/>
    <w:lvl w:ilvl="0" w:tplc="86586C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C6"/>
    <w:rsid w:val="00015BC6"/>
    <w:rsid w:val="00017CFF"/>
    <w:rsid w:val="00033EE3"/>
    <w:rsid w:val="00050794"/>
    <w:rsid w:val="000613AF"/>
    <w:rsid w:val="000773B3"/>
    <w:rsid w:val="000C1148"/>
    <w:rsid w:val="000D62AF"/>
    <w:rsid w:val="000F2054"/>
    <w:rsid w:val="000F6E42"/>
    <w:rsid w:val="000F7FCA"/>
    <w:rsid w:val="001014E0"/>
    <w:rsid w:val="00125F3B"/>
    <w:rsid w:val="00130F87"/>
    <w:rsid w:val="00131A82"/>
    <w:rsid w:val="00131D2F"/>
    <w:rsid w:val="00181C51"/>
    <w:rsid w:val="001B13F0"/>
    <w:rsid w:val="001C6C1C"/>
    <w:rsid w:val="001D4E14"/>
    <w:rsid w:val="001E13C0"/>
    <w:rsid w:val="002208E8"/>
    <w:rsid w:val="002244CC"/>
    <w:rsid w:val="0023483C"/>
    <w:rsid w:val="00234D60"/>
    <w:rsid w:val="0027077F"/>
    <w:rsid w:val="002772A7"/>
    <w:rsid w:val="0028107C"/>
    <w:rsid w:val="002A347E"/>
    <w:rsid w:val="002B01E5"/>
    <w:rsid w:val="002B7655"/>
    <w:rsid w:val="002D675B"/>
    <w:rsid w:val="002E4716"/>
    <w:rsid w:val="002E5CB9"/>
    <w:rsid w:val="00311342"/>
    <w:rsid w:val="00316457"/>
    <w:rsid w:val="0032635E"/>
    <w:rsid w:val="003320A7"/>
    <w:rsid w:val="003324E8"/>
    <w:rsid w:val="0036094F"/>
    <w:rsid w:val="00371DB5"/>
    <w:rsid w:val="00373CBB"/>
    <w:rsid w:val="00376009"/>
    <w:rsid w:val="00385BDC"/>
    <w:rsid w:val="003B5E4C"/>
    <w:rsid w:val="003D2C03"/>
    <w:rsid w:val="00404E41"/>
    <w:rsid w:val="00423771"/>
    <w:rsid w:val="00437FD2"/>
    <w:rsid w:val="00447F32"/>
    <w:rsid w:val="004670AE"/>
    <w:rsid w:val="00474EC4"/>
    <w:rsid w:val="0048678D"/>
    <w:rsid w:val="00492F72"/>
    <w:rsid w:val="00494665"/>
    <w:rsid w:val="004C0A81"/>
    <w:rsid w:val="004C75D8"/>
    <w:rsid w:val="004D5F7F"/>
    <w:rsid w:val="00525216"/>
    <w:rsid w:val="0052695F"/>
    <w:rsid w:val="00540F59"/>
    <w:rsid w:val="00546B57"/>
    <w:rsid w:val="00563379"/>
    <w:rsid w:val="005741A8"/>
    <w:rsid w:val="0059251A"/>
    <w:rsid w:val="005B153A"/>
    <w:rsid w:val="005C3631"/>
    <w:rsid w:val="005C4FB9"/>
    <w:rsid w:val="005E067E"/>
    <w:rsid w:val="005F16DC"/>
    <w:rsid w:val="005F1F18"/>
    <w:rsid w:val="00605543"/>
    <w:rsid w:val="00610B7C"/>
    <w:rsid w:val="00623C05"/>
    <w:rsid w:val="006501FC"/>
    <w:rsid w:val="00654889"/>
    <w:rsid w:val="0067356C"/>
    <w:rsid w:val="006769C7"/>
    <w:rsid w:val="006801A2"/>
    <w:rsid w:val="00683135"/>
    <w:rsid w:val="006A5F52"/>
    <w:rsid w:val="006A7DF8"/>
    <w:rsid w:val="006C7315"/>
    <w:rsid w:val="006D2ABF"/>
    <w:rsid w:val="006E493D"/>
    <w:rsid w:val="006F1310"/>
    <w:rsid w:val="006F14B5"/>
    <w:rsid w:val="00711507"/>
    <w:rsid w:val="00713001"/>
    <w:rsid w:val="00726701"/>
    <w:rsid w:val="007547DA"/>
    <w:rsid w:val="0075637A"/>
    <w:rsid w:val="007A0870"/>
    <w:rsid w:val="007B2A74"/>
    <w:rsid w:val="007B5560"/>
    <w:rsid w:val="007C45D6"/>
    <w:rsid w:val="007D2042"/>
    <w:rsid w:val="007D535E"/>
    <w:rsid w:val="007E12DF"/>
    <w:rsid w:val="007E7AA7"/>
    <w:rsid w:val="007F17A0"/>
    <w:rsid w:val="007F3B12"/>
    <w:rsid w:val="008139E1"/>
    <w:rsid w:val="008212CA"/>
    <w:rsid w:val="00823AAD"/>
    <w:rsid w:val="008320AE"/>
    <w:rsid w:val="00866C8D"/>
    <w:rsid w:val="0088564E"/>
    <w:rsid w:val="008A087E"/>
    <w:rsid w:val="008B734E"/>
    <w:rsid w:val="008B7525"/>
    <w:rsid w:val="008C69DD"/>
    <w:rsid w:val="008D0AD0"/>
    <w:rsid w:val="008D6CC6"/>
    <w:rsid w:val="008E12C8"/>
    <w:rsid w:val="008E4C6D"/>
    <w:rsid w:val="008F3597"/>
    <w:rsid w:val="008F7FE7"/>
    <w:rsid w:val="0090101B"/>
    <w:rsid w:val="00931C38"/>
    <w:rsid w:val="00932D40"/>
    <w:rsid w:val="0094242C"/>
    <w:rsid w:val="0097788A"/>
    <w:rsid w:val="00981306"/>
    <w:rsid w:val="009B5048"/>
    <w:rsid w:val="009B6290"/>
    <w:rsid w:val="009B7BE2"/>
    <w:rsid w:val="009C08A7"/>
    <w:rsid w:val="009C1D9B"/>
    <w:rsid w:val="009D4A9E"/>
    <w:rsid w:val="00A36B87"/>
    <w:rsid w:val="00A37073"/>
    <w:rsid w:val="00A44171"/>
    <w:rsid w:val="00A57554"/>
    <w:rsid w:val="00A63B9D"/>
    <w:rsid w:val="00A66771"/>
    <w:rsid w:val="00A943F6"/>
    <w:rsid w:val="00AA0D9D"/>
    <w:rsid w:val="00AB00F4"/>
    <w:rsid w:val="00AB2964"/>
    <w:rsid w:val="00B141CE"/>
    <w:rsid w:val="00B26453"/>
    <w:rsid w:val="00B315C1"/>
    <w:rsid w:val="00B60001"/>
    <w:rsid w:val="00B66854"/>
    <w:rsid w:val="00B70615"/>
    <w:rsid w:val="00B76540"/>
    <w:rsid w:val="00BC0832"/>
    <w:rsid w:val="00BC0A6D"/>
    <w:rsid w:val="00BC7085"/>
    <w:rsid w:val="00BE11A9"/>
    <w:rsid w:val="00BE12F7"/>
    <w:rsid w:val="00BF2125"/>
    <w:rsid w:val="00BF4468"/>
    <w:rsid w:val="00C105B4"/>
    <w:rsid w:val="00C3418A"/>
    <w:rsid w:val="00C35134"/>
    <w:rsid w:val="00C36F0A"/>
    <w:rsid w:val="00C44FAA"/>
    <w:rsid w:val="00C53B2F"/>
    <w:rsid w:val="00C53DAF"/>
    <w:rsid w:val="00C70D7F"/>
    <w:rsid w:val="00CA6DE8"/>
    <w:rsid w:val="00CC1BF0"/>
    <w:rsid w:val="00CE0E53"/>
    <w:rsid w:val="00CE2BA6"/>
    <w:rsid w:val="00CE75E4"/>
    <w:rsid w:val="00CF1584"/>
    <w:rsid w:val="00CF1C71"/>
    <w:rsid w:val="00CF5F72"/>
    <w:rsid w:val="00D044F2"/>
    <w:rsid w:val="00D06DD6"/>
    <w:rsid w:val="00D209A1"/>
    <w:rsid w:val="00D45B18"/>
    <w:rsid w:val="00D50163"/>
    <w:rsid w:val="00D52327"/>
    <w:rsid w:val="00D56EAC"/>
    <w:rsid w:val="00D57F6C"/>
    <w:rsid w:val="00D62CF8"/>
    <w:rsid w:val="00D83645"/>
    <w:rsid w:val="00DB04A4"/>
    <w:rsid w:val="00DC672F"/>
    <w:rsid w:val="00DD2327"/>
    <w:rsid w:val="00DD5A17"/>
    <w:rsid w:val="00DE59C9"/>
    <w:rsid w:val="00DE5CC0"/>
    <w:rsid w:val="00DE7C4B"/>
    <w:rsid w:val="00E25BBB"/>
    <w:rsid w:val="00E36B6B"/>
    <w:rsid w:val="00E504E0"/>
    <w:rsid w:val="00E5485B"/>
    <w:rsid w:val="00E6050A"/>
    <w:rsid w:val="00E63293"/>
    <w:rsid w:val="00EA2060"/>
    <w:rsid w:val="00EB13E0"/>
    <w:rsid w:val="00EB70A3"/>
    <w:rsid w:val="00EC417D"/>
    <w:rsid w:val="00ED4516"/>
    <w:rsid w:val="00EE6C08"/>
    <w:rsid w:val="00F1614B"/>
    <w:rsid w:val="00F328A1"/>
    <w:rsid w:val="00F50542"/>
    <w:rsid w:val="00F63799"/>
    <w:rsid w:val="00F66969"/>
    <w:rsid w:val="00F74425"/>
    <w:rsid w:val="00F7622F"/>
    <w:rsid w:val="00FA5AFD"/>
    <w:rsid w:val="00FA6AC7"/>
    <w:rsid w:val="00FB6587"/>
    <w:rsid w:val="00FC611C"/>
    <w:rsid w:val="00FD07C3"/>
    <w:rsid w:val="00FD596C"/>
    <w:rsid w:val="00FE4F0F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E89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A8"/>
    <w:pPr>
      <w:ind w:leftChars="200" w:left="480"/>
    </w:pPr>
  </w:style>
  <w:style w:type="character" w:styleId="a4">
    <w:name w:val="Hyperlink"/>
    <w:basedOn w:val="a0"/>
    <w:uiPriority w:val="99"/>
    <w:unhideWhenUsed/>
    <w:rsid w:val="00F32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8A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09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09A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363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F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C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1A8"/>
    <w:pPr>
      <w:ind w:leftChars="200" w:left="480"/>
    </w:pPr>
  </w:style>
  <w:style w:type="character" w:styleId="a4">
    <w:name w:val="Hyperlink"/>
    <w:basedOn w:val="a0"/>
    <w:uiPriority w:val="99"/>
    <w:unhideWhenUsed/>
    <w:rsid w:val="00F328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28A1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09A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09A1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3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363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F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45B8B-4DB8-4E3B-AE6F-4FD07B2E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鄭嘉君</dc:creator>
  <cp:lastModifiedBy>吳丞欣</cp:lastModifiedBy>
  <cp:revision>4</cp:revision>
  <cp:lastPrinted>2016-08-19T04:33:00Z</cp:lastPrinted>
  <dcterms:created xsi:type="dcterms:W3CDTF">2016-08-19T10:21:00Z</dcterms:created>
  <dcterms:modified xsi:type="dcterms:W3CDTF">2016-08-19T10:25:00Z</dcterms:modified>
</cp:coreProperties>
</file>