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EC" w:rsidRPr="00E00D6D" w:rsidRDefault="009524E4" w:rsidP="009524E4">
      <w:pPr>
        <w:jc w:val="center"/>
        <w:rPr>
          <w:rFonts w:ascii="標楷體" w:eastAsia="標楷體" w:hAnsi="標楷體"/>
          <w:b/>
          <w:sz w:val="32"/>
          <w:szCs w:val="32"/>
        </w:rPr>
      </w:pPr>
      <w:bookmarkStart w:id="0" w:name="_GoBack"/>
      <w:r w:rsidRPr="00E00D6D">
        <w:rPr>
          <w:rFonts w:ascii="標楷體" w:eastAsia="標楷體" w:hAnsi="標楷體" w:hint="eastAsia"/>
          <w:b/>
          <w:sz w:val="32"/>
          <w:szCs w:val="32"/>
        </w:rPr>
        <w:t>內政部10</w:t>
      </w:r>
      <w:r w:rsidR="008E62F6" w:rsidRPr="00E00D6D">
        <w:rPr>
          <w:rFonts w:ascii="標楷體" w:eastAsia="標楷體" w:hAnsi="標楷體" w:hint="eastAsia"/>
          <w:b/>
          <w:sz w:val="32"/>
          <w:szCs w:val="32"/>
        </w:rPr>
        <w:t>6</w:t>
      </w:r>
      <w:r w:rsidRPr="00E00D6D">
        <w:rPr>
          <w:rFonts w:ascii="標楷體" w:eastAsia="標楷體" w:hAnsi="標楷體" w:hint="eastAsia"/>
          <w:b/>
          <w:sz w:val="32"/>
          <w:szCs w:val="32"/>
        </w:rPr>
        <w:t>年</w:t>
      </w:r>
      <w:r w:rsidR="008E62F6" w:rsidRPr="00E00D6D">
        <w:rPr>
          <w:rFonts w:ascii="標楷體" w:eastAsia="標楷體" w:hAnsi="標楷體" w:hint="eastAsia"/>
          <w:b/>
          <w:sz w:val="32"/>
          <w:szCs w:val="32"/>
        </w:rPr>
        <w:t>1</w:t>
      </w:r>
      <w:r w:rsidR="001416FF" w:rsidRPr="00E00D6D">
        <w:rPr>
          <w:rFonts w:ascii="標楷體" w:eastAsia="標楷體" w:hAnsi="標楷體" w:hint="eastAsia"/>
          <w:b/>
          <w:sz w:val="32"/>
          <w:szCs w:val="32"/>
        </w:rPr>
        <w:t>月</w:t>
      </w:r>
      <w:r w:rsidRPr="00E00D6D">
        <w:rPr>
          <w:rFonts w:ascii="標楷體" w:eastAsia="標楷體" w:hAnsi="標楷體" w:hint="eastAsia"/>
          <w:b/>
          <w:sz w:val="32"/>
          <w:szCs w:val="32"/>
        </w:rPr>
        <w:t>起新實施之重大政策或措施彙整</w:t>
      </w:r>
      <w:r w:rsidR="00365BC1" w:rsidRPr="00E00D6D">
        <w:rPr>
          <w:rFonts w:ascii="標楷體" w:eastAsia="標楷體" w:hAnsi="標楷體" w:hint="eastAsia"/>
          <w:b/>
          <w:sz w:val="32"/>
          <w:szCs w:val="32"/>
        </w:rPr>
        <w:t>表</w:t>
      </w: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603"/>
        <w:gridCol w:w="636"/>
        <w:gridCol w:w="1638"/>
        <w:gridCol w:w="3681"/>
        <w:gridCol w:w="3058"/>
        <w:gridCol w:w="943"/>
      </w:tblGrid>
      <w:tr w:rsidR="00E00D6D" w:rsidRPr="00E00D6D" w:rsidTr="00507087">
        <w:trPr>
          <w:tblHeader/>
          <w:jc w:val="center"/>
        </w:trPr>
        <w:tc>
          <w:tcPr>
            <w:tcW w:w="603" w:type="dxa"/>
            <w:shd w:val="clear" w:color="auto" w:fill="D9D9D9"/>
          </w:tcPr>
          <w:p w:rsidR="00507087" w:rsidRPr="00E00D6D" w:rsidRDefault="00507087" w:rsidP="004A2055">
            <w:pPr>
              <w:adjustRightInd w:val="0"/>
              <w:snapToGrid w:val="0"/>
              <w:spacing w:line="0" w:lineRule="atLeast"/>
              <w:ind w:leftChars="-7" w:left="-17" w:rightChars="-10" w:right="-24"/>
              <w:jc w:val="distribute"/>
              <w:rPr>
                <w:rFonts w:ascii="標楷體" w:eastAsia="標楷體" w:hAnsi="標楷體" w:cs="Times New Roman"/>
                <w:b/>
                <w:spacing w:val="-20"/>
                <w:sz w:val="26"/>
                <w:szCs w:val="26"/>
              </w:rPr>
            </w:pPr>
            <w:r w:rsidRPr="00E00D6D">
              <w:rPr>
                <w:rFonts w:ascii="標楷體" w:eastAsia="標楷體" w:hAnsi="標楷體" w:cs="Times New Roman"/>
                <w:b/>
                <w:spacing w:val="-20"/>
                <w:sz w:val="26"/>
                <w:szCs w:val="26"/>
              </w:rPr>
              <w:t>項次</w:t>
            </w:r>
          </w:p>
        </w:tc>
        <w:tc>
          <w:tcPr>
            <w:tcW w:w="636" w:type="dxa"/>
            <w:shd w:val="clear" w:color="auto" w:fill="D9D9D9"/>
          </w:tcPr>
          <w:p w:rsidR="00507087" w:rsidRPr="00E00D6D" w:rsidRDefault="00507087" w:rsidP="004A2055">
            <w:pPr>
              <w:adjustRightInd w:val="0"/>
              <w:snapToGrid w:val="0"/>
              <w:spacing w:line="0" w:lineRule="atLeast"/>
              <w:jc w:val="distribute"/>
              <w:rPr>
                <w:rFonts w:ascii="標楷體" w:eastAsia="標楷體" w:hAnsi="標楷體" w:cs="Times New Roman"/>
                <w:b/>
                <w:sz w:val="26"/>
                <w:szCs w:val="26"/>
              </w:rPr>
            </w:pPr>
            <w:r w:rsidRPr="00E00D6D">
              <w:rPr>
                <w:rFonts w:ascii="標楷體" w:eastAsia="標楷體" w:hAnsi="標楷體" w:cs="Times New Roman"/>
                <w:b/>
                <w:sz w:val="26"/>
                <w:szCs w:val="26"/>
              </w:rPr>
              <w:t>單位</w:t>
            </w:r>
          </w:p>
        </w:tc>
        <w:tc>
          <w:tcPr>
            <w:tcW w:w="1638" w:type="dxa"/>
            <w:shd w:val="clear" w:color="auto" w:fill="D9D9D9"/>
          </w:tcPr>
          <w:p w:rsidR="00507087" w:rsidRPr="00E00D6D" w:rsidRDefault="00507087" w:rsidP="004A2055">
            <w:pPr>
              <w:adjustRightInd w:val="0"/>
              <w:snapToGrid w:val="0"/>
              <w:spacing w:line="0" w:lineRule="atLeast"/>
              <w:jc w:val="distribute"/>
              <w:rPr>
                <w:rFonts w:ascii="標楷體" w:eastAsia="標楷體" w:hAnsi="標楷體" w:cs="Times New Roman"/>
                <w:b/>
                <w:sz w:val="26"/>
                <w:szCs w:val="26"/>
              </w:rPr>
            </w:pPr>
            <w:r w:rsidRPr="00E00D6D">
              <w:rPr>
                <w:rFonts w:ascii="標楷體" w:eastAsia="標楷體" w:hAnsi="標楷體" w:cs="Times New Roman"/>
                <w:b/>
                <w:sz w:val="26"/>
                <w:szCs w:val="26"/>
              </w:rPr>
              <w:t>政策或措施</w:t>
            </w:r>
          </w:p>
        </w:tc>
        <w:tc>
          <w:tcPr>
            <w:tcW w:w="3681" w:type="dxa"/>
            <w:shd w:val="clear" w:color="auto" w:fill="D9D9D9"/>
          </w:tcPr>
          <w:p w:rsidR="00507087" w:rsidRPr="00E00D6D" w:rsidRDefault="00507087" w:rsidP="004A2055">
            <w:pPr>
              <w:adjustRightInd w:val="0"/>
              <w:snapToGrid w:val="0"/>
              <w:spacing w:line="0" w:lineRule="atLeast"/>
              <w:jc w:val="distribute"/>
              <w:rPr>
                <w:rFonts w:ascii="標楷體" w:eastAsia="標楷體" w:hAnsi="標楷體" w:cs="Times New Roman"/>
                <w:b/>
                <w:sz w:val="26"/>
                <w:szCs w:val="26"/>
              </w:rPr>
            </w:pPr>
            <w:r w:rsidRPr="00E00D6D">
              <w:rPr>
                <w:rFonts w:ascii="標楷體" w:eastAsia="標楷體" w:hAnsi="標楷體" w:cs="Times New Roman"/>
                <w:b/>
                <w:sz w:val="26"/>
                <w:szCs w:val="26"/>
              </w:rPr>
              <w:t>具體內容</w:t>
            </w:r>
          </w:p>
        </w:tc>
        <w:tc>
          <w:tcPr>
            <w:tcW w:w="3058" w:type="dxa"/>
            <w:shd w:val="clear" w:color="auto" w:fill="D9D9D9"/>
          </w:tcPr>
          <w:p w:rsidR="00507087" w:rsidRPr="00E00D6D" w:rsidRDefault="00507087" w:rsidP="004A2055">
            <w:pPr>
              <w:adjustRightInd w:val="0"/>
              <w:snapToGrid w:val="0"/>
              <w:spacing w:line="0" w:lineRule="atLeast"/>
              <w:jc w:val="distribute"/>
              <w:rPr>
                <w:rFonts w:ascii="標楷體" w:eastAsia="標楷體" w:hAnsi="標楷體" w:cs="Times New Roman"/>
                <w:b/>
                <w:sz w:val="26"/>
                <w:szCs w:val="26"/>
              </w:rPr>
            </w:pPr>
            <w:r w:rsidRPr="00E00D6D">
              <w:rPr>
                <w:rFonts w:ascii="標楷體" w:eastAsia="標楷體" w:hAnsi="標楷體" w:cs="Times New Roman"/>
                <w:b/>
                <w:sz w:val="26"/>
                <w:szCs w:val="26"/>
              </w:rPr>
              <w:t>實施效益</w:t>
            </w:r>
          </w:p>
        </w:tc>
        <w:tc>
          <w:tcPr>
            <w:tcW w:w="943" w:type="dxa"/>
            <w:shd w:val="clear" w:color="auto" w:fill="D9D9D9"/>
          </w:tcPr>
          <w:p w:rsidR="00507087" w:rsidRPr="00E00D6D" w:rsidRDefault="00507087" w:rsidP="004A2055">
            <w:pPr>
              <w:adjustRightInd w:val="0"/>
              <w:snapToGrid w:val="0"/>
              <w:spacing w:line="0" w:lineRule="atLeast"/>
              <w:jc w:val="distribute"/>
              <w:rPr>
                <w:rFonts w:ascii="標楷體" w:eastAsia="標楷體" w:hAnsi="標楷體" w:cs="Times New Roman"/>
                <w:b/>
                <w:sz w:val="26"/>
                <w:szCs w:val="26"/>
              </w:rPr>
            </w:pPr>
            <w:r w:rsidRPr="00E00D6D">
              <w:rPr>
                <w:rFonts w:ascii="標楷體" w:eastAsia="標楷體" w:hAnsi="標楷體" w:cs="Times New Roman" w:hint="eastAsia"/>
                <w:b/>
                <w:sz w:val="26"/>
                <w:szCs w:val="26"/>
              </w:rPr>
              <w:t>備註</w:t>
            </w:r>
          </w:p>
        </w:tc>
      </w:tr>
      <w:tr w:rsidR="00E00D6D" w:rsidRPr="00E00D6D" w:rsidTr="000335DC">
        <w:trPr>
          <w:jc w:val="center"/>
        </w:trPr>
        <w:tc>
          <w:tcPr>
            <w:tcW w:w="603" w:type="dxa"/>
          </w:tcPr>
          <w:p w:rsidR="00434822" w:rsidRPr="00E00D6D" w:rsidRDefault="00434822" w:rsidP="004A2055">
            <w:pPr>
              <w:numPr>
                <w:ilvl w:val="0"/>
                <w:numId w:val="2"/>
              </w:numPr>
              <w:spacing w:line="0" w:lineRule="atLeast"/>
              <w:jc w:val="center"/>
              <w:rPr>
                <w:rFonts w:ascii="標楷體" w:eastAsia="標楷體" w:hAnsi="標楷體" w:cs="Times New Roman"/>
                <w:kern w:val="0"/>
                <w:sz w:val="26"/>
                <w:szCs w:val="26"/>
              </w:rPr>
            </w:pPr>
          </w:p>
        </w:tc>
        <w:tc>
          <w:tcPr>
            <w:tcW w:w="636" w:type="dxa"/>
          </w:tcPr>
          <w:p w:rsidR="00434822" w:rsidRPr="00E00D6D" w:rsidRDefault="00434822" w:rsidP="004A2055">
            <w:pPr>
              <w:spacing w:line="0" w:lineRule="atLeast"/>
              <w:jc w:val="both"/>
              <w:rPr>
                <w:rFonts w:ascii="標楷體" w:eastAsia="標楷體" w:hAnsi="標楷體" w:cs="Times New Roman"/>
                <w:kern w:val="0"/>
                <w:sz w:val="26"/>
                <w:szCs w:val="26"/>
              </w:rPr>
            </w:pPr>
            <w:r w:rsidRPr="00E00D6D">
              <w:rPr>
                <w:rFonts w:ascii="標楷體" w:eastAsia="標楷體" w:hAnsi="標楷體" w:cs="Times New Roman" w:hint="eastAsia"/>
                <w:kern w:val="0"/>
                <w:sz w:val="26"/>
                <w:szCs w:val="26"/>
              </w:rPr>
              <w:t>地政司</w:t>
            </w:r>
          </w:p>
        </w:tc>
        <w:tc>
          <w:tcPr>
            <w:tcW w:w="1638" w:type="dxa"/>
          </w:tcPr>
          <w:p w:rsidR="00434822" w:rsidRPr="00E00D6D" w:rsidRDefault="00434822" w:rsidP="004A2055">
            <w:pPr>
              <w:spacing w:line="0" w:lineRule="atLeast"/>
              <w:jc w:val="both"/>
              <w:rPr>
                <w:rFonts w:ascii="標楷體" w:eastAsia="標楷體" w:hAnsi="標楷體" w:cs="Times New Roman"/>
                <w:sz w:val="26"/>
                <w:szCs w:val="26"/>
              </w:rPr>
            </w:pPr>
            <w:r w:rsidRPr="00E00D6D">
              <w:rPr>
                <w:rFonts w:ascii="標楷體" w:eastAsia="標楷體" w:hAnsi="標楷體" w:cs="Times New Roman" w:hint="eastAsia"/>
                <w:sz w:val="26"/>
                <w:szCs w:val="26"/>
              </w:rPr>
              <w:t>廢除地目等則制度</w:t>
            </w:r>
          </w:p>
        </w:tc>
        <w:tc>
          <w:tcPr>
            <w:tcW w:w="3681" w:type="dxa"/>
          </w:tcPr>
          <w:p w:rsidR="00434822" w:rsidRPr="00E00D6D" w:rsidRDefault="00434822" w:rsidP="004A2055">
            <w:pPr>
              <w:tabs>
                <w:tab w:val="left" w:pos="297"/>
              </w:tabs>
              <w:spacing w:line="0" w:lineRule="atLeast"/>
              <w:ind w:leftChars="7" w:left="267" w:hangingChars="96" w:hanging="250"/>
              <w:jc w:val="both"/>
              <w:rPr>
                <w:rFonts w:ascii="標楷體" w:eastAsia="標楷體" w:hAnsi="標楷體" w:cs="新細明體"/>
                <w:kern w:val="0"/>
                <w:sz w:val="26"/>
                <w:szCs w:val="26"/>
              </w:rPr>
            </w:pPr>
            <w:r w:rsidRPr="00E00D6D">
              <w:rPr>
                <w:rFonts w:ascii="標楷體" w:eastAsia="標楷體" w:hAnsi="標楷體" w:hint="eastAsia"/>
                <w:sz w:val="26"/>
                <w:szCs w:val="26"/>
              </w:rPr>
              <w:t>1.</w:t>
            </w:r>
            <w:r w:rsidR="0097418A" w:rsidRPr="00E00D6D">
              <w:rPr>
                <w:rFonts w:ascii="標楷體" w:eastAsia="標楷體" w:hAnsi="標楷體" w:cs="新細明體" w:hint="eastAsia"/>
                <w:kern w:val="0"/>
                <w:sz w:val="26"/>
                <w:szCs w:val="26"/>
              </w:rPr>
              <w:t>自106年元旦起廢除地目等則制度，土地登記、地價謄本及權利書狀不再顯示地目等則資料，地政事務所亦停止受理地目變更登記</w:t>
            </w:r>
            <w:r w:rsidRPr="00E00D6D">
              <w:rPr>
                <w:rFonts w:ascii="標楷體" w:eastAsia="標楷體" w:hAnsi="標楷體" w:cs="新細明體" w:hint="eastAsia"/>
                <w:kern w:val="0"/>
                <w:sz w:val="26"/>
                <w:szCs w:val="26"/>
              </w:rPr>
              <w:t>。</w:t>
            </w:r>
          </w:p>
          <w:p w:rsidR="00434822" w:rsidRPr="00E00D6D" w:rsidRDefault="00434822" w:rsidP="004A2055">
            <w:pPr>
              <w:tabs>
                <w:tab w:val="left" w:pos="297"/>
              </w:tabs>
              <w:spacing w:line="0" w:lineRule="atLeast"/>
              <w:ind w:leftChars="7" w:left="267" w:hangingChars="96" w:hanging="250"/>
              <w:jc w:val="both"/>
              <w:rPr>
                <w:rFonts w:ascii="標楷體" w:eastAsia="標楷體" w:hAnsi="標楷體" w:cs="新細明體"/>
                <w:kern w:val="0"/>
                <w:sz w:val="26"/>
                <w:szCs w:val="26"/>
              </w:rPr>
            </w:pPr>
            <w:r w:rsidRPr="00E00D6D">
              <w:rPr>
                <w:rFonts w:ascii="標楷體" w:eastAsia="標楷體" w:hAnsi="標楷體" w:cs="新細明體" w:hint="eastAsia"/>
                <w:kern w:val="0"/>
                <w:sz w:val="26"/>
                <w:szCs w:val="26"/>
              </w:rPr>
              <w:t>2.</w:t>
            </w:r>
            <w:r w:rsidR="0097418A" w:rsidRPr="00E00D6D">
              <w:rPr>
                <w:rFonts w:ascii="標楷體" w:eastAsia="標楷體" w:hAnsi="標楷體" w:cs="新細明體" w:hint="eastAsia"/>
                <w:kern w:val="0"/>
                <w:sz w:val="26"/>
                <w:szCs w:val="26"/>
              </w:rPr>
              <w:t>民眾如果仍有需要原有或歷史的地目等則資料作為參考，仍可向地政事務所提出申請</w:t>
            </w:r>
            <w:r w:rsidRPr="00E00D6D">
              <w:rPr>
                <w:rFonts w:ascii="標楷體" w:eastAsia="標楷體" w:hAnsi="標楷體" w:cs="新細明體" w:hint="eastAsia"/>
                <w:kern w:val="0"/>
                <w:sz w:val="26"/>
                <w:szCs w:val="26"/>
              </w:rPr>
              <w:t>。</w:t>
            </w:r>
          </w:p>
          <w:p w:rsidR="00425B10" w:rsidRPr="00E00D6D" w:rsidRDefault="00425B10" w:rsidP="004A2055">
            <w:pPr>
              <w:tabs>
                <w:tab w:val="left" w:pos="297"/>
              </w:tabs>
              <w:spacing w:line="0" w:lineRule="atLeast"/>
              <w:ind w:leftChars="7" w:left="267" w:hangingChars="96" w:hanging="250"/>
              <w:jc w:val="both"/>
              <w:rPr>
                <w:rFonts w:ascii="標楷體" w:eastAsia="標楷體" w:hAnsi="標楷體" w:cs="新細明體"/>
                <w:kern w:val="0"/>
                <w:sz w:val="26"/>
                <w:szCs w:val="26"/>
              </w:rPr>
            </w:pPr>
            <w:r w:rsidRPr="00E00D6D">
              <w:rPr>
                <w:rFonts w:ascii="標楷體" w:eastAsia="標楷體" w:hAnsi="標楷體" w:cs="新細明體" w:hint="eastAsia"/>
                <w:kern w:val="0"/>
                <w:sz w:val="26"/>
                <w:szCs w:val="26"/>
              </w:rPr>
              <w:t>3.自106年1月1日起</w:t>
            </w:r>
            <w:r w:rsidR="0097418A" w:rsidRPr="00E00D6D">
              <w:rPr>
                <w:rFonts w:ascii="標楷體" w:eastAsia="標楷體" w:hAnsi="標楷體" w:cs="新細明體" w:hint="eastAsia"/>
                <w:kern w:val="0"/>
                <w:sz w:val="26"/>
                <w:szCs w:val="26"/>
              </w:rPr>
              <w:t>實施</w:t>
            </w:r>
            <w:r w:rsidRPr="00E00D6D">
              <w:rPr>
                <w:rFonts w:ascii="標楷體" w:eastAsia="標楷體" w:hAnsi="標楷體" w:cs="新細明體" w:hint="eastAsia"/>
                <w:kern w:val="0"/>
                <w:sz w:val="26"/>
                <w:szCs w:val="26"/>
              </w:rPr>
              <w:t>。</w:t>
            </w:r>
          </w:p>
        </w:tc>
        <w:tc>
          <w:tcPr>
            <w:tcW w:w="3058" w:type="dxa"/>
          </w:tcPr>
          <w:p w:rsidR="00434822" w:rsidRPr="00E00D6D" w:rsidRDefault="0097418A" w:rsidP="004A2055">
            <w:pPr>
              <w:spacing w:line="0" w:lineRule="atLeast"/>
              <w:jc w:val="both"/>
              <w:rPr>
                <w:rFonts w:ascii="標楷體" w:eastAsia="標楷體" w:hAnsi="標楷體" w:cs="Times New Roman"/>
                <w:sz w:val="26"/>
                <w:szCs w:val="26"/>
              </w:rPr>
            </w:pPr>
            <w:r w:rsidRPr="00E00D6D">
              <w:rPr>
                <w:rFonts w:ascii="標楷體" w:eastAsia="標楷體" w:hAnsi="標楷體" w:cs="新細明體" w:hint="eastAsia"/>
                <w:kern w:val="0"/>
                <w:sz w:val="26"/>
                <w:szCs w:val="26"/>
              </w:rPr>
              <w:t>地目等則制度廢除後，不會再發生土地登記及地價謄本的地目與使用分區或使用地編定不符的情形，將可避免民眾或機關混淆誤用，以保障民眾權益</w:t>
            </w:r>
            <w:r w:rsidR="00434822" w:rsidRPr="00E00D6D">
              <w:rPr>
                <w:rFonts w:ascii="標楷體" w:eastAsia="標楷體" w:hAnsi="標楷體" w:cs="新細明體" w:hint="eastAsia"/>
                <w:kern w:val="0"/>
                <w:sz w:val="26"/>
                <w:szCs w:val="26"/>
              </w:rPr>
              <w:t>。</w:t>
            </w:r>
          </w:p>
        </w:tc>
        <w:tc>
          <w:tcPr>
            <w:tcW w:w="943" w:type="dxa"/>
          </w:tcPr>
          <w:p w:rsidR="00434822" w:rsidRPr="00E00D6D" w:rsidRDefault="00434822" w:rsidP="004A2055">
            <w:pPr>
              <w:spacing w:line="0" w:lineRule="atLeast"/>
              <w:jc w:val="both"/>
              <w:rPr>
                <w:rFonts w:ascii="標楷體" w:eastAsia="標楷體" w:hAnsi="標楷體" w:cs="Times New Roman"/>
                <w:sz w:val="26"/>
                <w:szCs w:val="26"/>
              </w:rPr>
            </w:pPr>
          </w:p>
        </w:tc>
      </w:tr>
      <w:tr w:rsidR="00E00D6D" w:rsidRPr="00E00D6D" w:rsidTr="000335DC">
        <w:trPr>
          <w:jc w:val="center"/>
        </w:trPr>
        <w:tc>
          <w:tcPr>
            <w:tcW w:w="603" w:type="dxa"/>
          </w:tcPr>
          <w:p w:rsidR="00434822" w:rsidRPr="00E00D6D" w:rsidRDefault="00434822" w:rsidP="004A2055">
            <w:pPr>
              <w:numPr>
                <w:ilvl w:val="0"/>
                <w:numId w:val="2"/>
              </w:numPr>
              <w:spacing w:line="0" w:lineRule="atLeast"/>
              <w:jc w:val="center"/>
              <w:rPr>
                <w:rFonts w:ascii="標楷體" w:eastAsia="標楷體" w:hAnsi="標楷體" w:cs="Times New Roman"/>
                <w:kern w:val="0"/>
                <w:sz w:val="26"/>
                <w:szCs w:val="26"/>
              </w:rPr>
            </w:pPr>
          </w:p>
        </w:tc>
        <w:tc>
          <w:tcPr>
            <w:tcW w:w="636" w:type="dxa"/>
          </w:tcPr>
          <w:p w:rsidR="00434822" w:rsidRPr="00E00D6D" w:rsidRDefault="00434822" w:rsidP="004A2055">
            <w:pPr>
              <w:spacing w:line="0" w:lineRule="atLeast"/>
              <w:jc w:val="both"/>
              <w:rPr>
                <w:rFonts w:ascii="標楷體" w:eastAsia="標楷體" w:hAnsi="標楷體" w:cs="Times New Roman"/>
                <w:kern w:val="0"/>
                <w:sz w:val="26"/>
                <w:szCs w:val="26"/>
              </w:rPr>
            </w:pPr>
            <w:r w:rsidRPr="00E00D6D">
              <w:rPr>
                <w:rFonts w:ascii="標楷體" w:eastAsia="標楷體" w:hAnsi="標楷體" w:cs="Times New Roman" w:hint="eastAsia"/>
                <w:kern w:val="0"/>
                <w:sz w:val="26"/>
                <w:szCs w:val="26"/>
              </w:rPr>
              <w:t>地政司</w:t>
            </w:r>
          </w:p>
        </w:tc>
        <w:tc>
          <w:tcPr>
            <w:tcW w:w="1638" w:type="dxa"/>
          </w:tcPr>
          <w:p w:rsidR="00434822" w:rsidRPr="00E00D6D" w:rsidRDefault="00434822" w:rsidP="004A2055">
            <w:pPr>
              <w:spacing w:line="0" w:lineRule="atLeast"/>
              <w:jc w:val="both"/>
              <w:rPr>
                <w:rFonts w:ascii="標楷體" w:eastAsia="標楷體" w:hAnsi="標楷體" w:cs="Times New Roman"/>
                <w:sz w:val="26"/>
                <w:szCs w:val="26"/>
              </w:rPr>
            </w:pPr>
            <w:r w:rsidRPr="00E00D6D">
              <w:rPr>
                <w:rFonts w:ascii="標楷體" w:eastAsia="標楷體" w:hAnsi="標楷體" w:hint="eastAsia"/>
                <w:sz w:val="26"/>
                <w:szCs w:val="26"/>
              </w:rPr>
              <w:t>實施「房屋租賃定型化契約應記載及不得記載事項」</w:t>
            </w:r>
          </w:p>
        </w:tc>
        <w:tc>
          <w:tcPr>
            <w:tcW w:w="3681" w:type="dxa"/>
          </w:tcPr>
          <w:p w:rsidR="00434822" w:rsidRPr="00E00D6D" w:rsidRDefault="00425B10" w:rsidP="004A2055">
            <w:pPr>
              <w:tabs>
                <w:tab w:val="left" w:pos="297"/>
              </w:tabs>
              <w:spacing w:line="0" w:lineRule="atLeast"/>
              <w:ind w:leftChars="7" w:left="267" w:hangingChars="96" w:hanging="250"/>
              <w:jc w:val="both"/>
              <w:rPr>
                <w:rFonts w:ascii="標楷體" w:eastAsia="標楷體" w:hAnsi="標楷體" w:cs="Times New Roman"/>
                <w:sz w:val="26"/>
                <w:szCs w:val="26"/>
              </w:rPr>
            </w:pPr>
            <w:r w:rsidRPr="00E00D6D">
              <w:rPr>
                <w:rFonts w:ascii="標楷體" w:eastAsia="標楷體" w:hAnsi="標楷體" w:hint="eastAsia"/>
                <w:sz w:val="26"/>
                <w:szCs w:val="26"/>
              </w:rPr>
              <w:t>1.</w:t>
            </w:r>
            <w:r w:rsidR="00434822" w:rsidRPr="00E00D6D">
              <w:rPr>
                <w:rFonts w:ascii="標楷體" w:eastAsia="標楷體" w:hAnsi="標楷體" w:hint="eastAsia"/>
                <w:sz w:val="26"/>
                <w:szCs w:val="26"/>
              </w:rPr>
              <w:t>自</w:t>
            </w:r>
            <w:r w:rsidR="00434822" w:rsidRPr="00E00D6D">
              <w:rPr>
                <w:rFonts w:ascii="標楷體" w:eastAsia="標楷體" w:hAnsi="標楷體" w:cs="新細明體" w:hint="eastAsia"/>
                <w:kern w:val="0"/>
                <w:sz w:val="26"/>
                <w:szCs w:val="26"/>
              </w:rPr>
              <w:t>106年元旦起實施「房屋租賃定型化</w:t>
            </w:r>
            <w:r w:rsidR="00434822" w:rsidRPr="00E00D6D">
              <w:rPr>
                <w:rFonts w:ascii="標楷體" w:eastAsia="標楷體" w:hAnsi="標楷體" w:cs="Times New Roman" w:hint="eastAsia"/>
                <w:sz w:val="26"/>
                <w:szCs w:val="26"/>
              </w:rPr>
              <w:t>契約應記載及不得記載事項」，日後以租屋為業之房東應使用新版房屋租賃定型化契約。</w:t>
            </w:r>
          </w:p>
          <w:p w:rsidR="00434822" w:rsidRPr="00E00D6D" w:rsidRDefault="00425B10" w:rsidP="004A2055">
            <w:pPr>
              <w:tabs>
                <w:tab w:val="left" w:pos="297"/>
              </w:tabs>
              <w:spacing w:line="0" w:lineRule="atLeast"/>
              <w:ind w:leftChars="7" w:left="267" w:hangingChars="96" w:hanging="250"/>
              <w:jc w:val="both"/>
              <w:rPr>
                <w:rFonts w:ascii="標楷體" w:eastAsia="標楷體" w:hAnsi="標楷體"/>
                <w:sz w:val="26"/>
                <w:szCs w:val="26"/>
              </w:rPr>
            </w:pPr>
            <w:r w:rsidRPr="00E00D6D">
              <w:rPr>
                <w:rFonts w:ascii="標楷體" w:eastAsia="標楷體" w:hAnsi="標楷體" w:cs="Times New Roman" w:hint="eastAsia"/>
                <w:sz w:val="26"/>
                <w:szCs w:val="26"/>
              </w:rPr>
              <w:t>2.自106年</w:t>
            </w:r>
            <w:r w:rsidRPr="00E00D6D">
              <w:rPr>
                <w:rFonts w:ascii="標楷體" w:eastAsia="標楷體" w:hAnsi="標楷體" w:hint="eastAsia"/>
                <w:sz w:val="26"/>
                <w:szCs w:val="26"/>
              </w:rPr>
              <w:t>1月1日起實施。</w:t>
            </w:r>
          </w:p>
        </w:tc>
        <w:tc>
          <w:tcPr>
            <w:tcW w:w="3058" w:type="dxa"/>
          </w:tcPr>
          <w:p w:rsidR="00434822" w:rsidRPr="00E00D6D" w:rsidRDefault="00434822" w:rsidP="004A2055">
            <w:pPr>
              <w:spacing w:line="0" w:lineRule="atLeast"/>
              <w:ind w:leftChars="-5" w:left="27" w:hangingChars="15" w:hanging="39"/>
              <w:jc w:val="both"/>
              <w:rPr>
                <w:rFonts w:ascii="標楷體" w:eastAsia="標楷體" w:hAnsi="標楷體"/>
                <w:sz w:val="26"/>
                <w:szCs w:val="26"/>
              </w:rPr>
            </w:pPr>
            <w:r w:rsidRPr="00E00D6D">
              <w:rPr>
                <w:rFonts w:ascii="標楷體" w:eastAsia="標楷體" w:hAnsi="標楷體" w:hint="eastAsia"/>
                <w:sz w:val="26"/>
                <w:szCs w:val="26"/>
              </w:rPr>
              <w:t>透過定型化契約之公告實施及推廣使用，衡平住宅租賃雙方權利義務關係，促進房屋租賃契約合理公平，適度引導租屋市場健全發展。</w:t>
            </w:r>
          </w:p>
        </w:tc>
        <w:tc>
          <w:tcPr>
            <w:tcW w:w="943" w:type="dxa"/>
          </w:tcPr>
          <w:p w:rsidR="00434822" w:rsidRPr="00E00D6D" w:rsidRDefault="00434822" w:rsidP="004A2055">
            <w:pPr>
              <w:spacing w:line="0" w:lineRule="atLeast"/>
              <w:jc w:val="both"/>
              <w:rPr>
                <w:rFonts w:ascii="標楷體" w:eastAsia="標楷體" w:hAnsi="標楷體" w:cs="Times New Roman"/>
                <w:sz w:val="26"/>
                <w:szCs w:val="26"/>
              </w:rPr>
            </w:pPr>
          </w:p>
        </w:tc>
      </w:tr>
      <w:tr w:rsidR="00E00D6D" w:rsidRPr="00E00D6D" w:rsidTr="000335DC">
        <w:trPr>
          <w:jc w:val="center"/>
        </w:trPr>
        <w:tc>
          <w:tcPr>
            <w:tcW w:w="603" w:type="dxa"/>
          </w:tcPr>
          <w:p w:rsidR="00434822" w:rsidRPr="00E00D6D" w:rsidRDefault="00434822" w:rsidP="004A2055">
            <w:pPr>
              <w:numPr>
                <w:ilvl w:val="0"/>
                <w:numId w:val="2"/>
              </w:numPr>
              <w:spacing w:line="0" w:lineRule="atLeast"/>
              <w:jc w:val="center"/>
              <w:rPr>
                <w:rFonts w:ascii="標楷體" w:eastAsia="標楷體" w:hAnsi="標楷體" w:cs="Times New Roman"/>
                <w:kern w:val="0"/>
                <w:sz w:val="26"/>
                <w:szCs w:val="26"/>
              </w:rPr>
            </w:pPr>
          </w:p>
        </w:tc>
        <w:tc>
          <w:tcPr>
            <w:tcW w:w="636" w:type="dxa"/>
          </w:tcPr>
          <w:p w:rsidR="00434822" w:rsidRPr="00E00D6D" w:rsidRDefault="00434822" w:rsidP="004A2055">
            <w:pPr>
              <w:spacing w:line="0" w:lineRule="atLeast"/>
              <w:jc w:val="both"/>
              <w:rPr>
                <w:rFonts w:ascii="標楷體" w:eastAsia="標楷體" w:hAnsi="標楷體" w:cs="Times New Roman"/>
                <w:sz w:val="26"/>
                <w:szCs w:val="26"/>
              </w:rPr>
            </w:pPr>
            <w:r w:rsidRPr="00E00D6D">
              <w:rPr>
                <w:rFonts w:ascii="標楷體" w:eastAsia="標楷體" w:hAnsi="標楷體" w:cs="Times New Roman" w:hint="eastAsia"/>
                <w:sz w:val="26"/>
                <w:szCs w:val="26"/>
              </w:rPr>
              <w:t>營建署</w:t>
            </w:r>
          </w:p>
        </w:tc>
        <w:tc>
          <w:tcPr>
            <w:tcW w:w="1638" w:type="dxa"/>
          </w:tcPr>
          <w:p w:rsidR="00434822" w:rsidRPr="00E00D6D" w:rsidRDefault="00434822" w:rsidP="004A2055">
            <w:pPr>
              <w:spacing w:line="0" w:lineRule="atLeast"/>
              <w:jc w:val="both"/>
              <w:rPr>
                <w:rFonts w:ascii="標楷體" w:eastAsia="標楷體" w:hAnsi="標楷體" w:cs="Times New Roman"/>
                <w:sz w:val="26"/>
                <w:szCs w:val="26"/>
              </w:rPr>
            </w:pPr>
            <w:r w:rsidRPr="00E00D6D">
              <w:rPr>
                <w:rFonts w:ascii="標楷體" w:eastAsia="標楷體" w:hAnsi="標楷體" w:cs="Times New Roman" w:hint="eastAsia"/>
                <w:sz w:val="26"/>
                <w:szCs w:val="26"/>
              </w:rPr>
              <w:t>陽明山國家公園管理處園區公有停車場收費管理</w:t>
            </w:r>
          </w:p>
        </w:tc>
        <w:tc>
          <w:tcPr>
            <w:tcW w:w="3681" w:type="dxa"/>
          </w:tcPr>
          <w:p w:rsidR="00434822" w:rsidRPr="00E00D6D" w:rsidRDefault="00723775" w:rsidP="00723775">
            <w:pPr>
              <w:tabs>
                <w:tab w:val="left" w:pos="297"/>
              </w:tabs>
              <w:spacing w:line="0" w:lineRule="atLeast"/>
              <w:ind w:leftChars="7" w:left="267" w:hangingChars="96" w:hanging="250"/>
              <w:jc w:val="both"/>
              <w:rPr>
                <w:rFonts w:ascii="標楷體" w:eastAsia="標楷體" w:hAnsi="標楷體"/>
                <w:sz w:val="26"/>
                <w:szCs w:val="26"/>
              </w:rPr>
            </w:pPr>
            <w:r w:rsidRPr="00E00D6D">
              <w:rPr>
                <w:rFonts w:ascii="標楷體" w:eastAsia="標楷體" w:hAnsi="標楷體" w:cs="Times New Roman" w:hint="eastAsia"/>
                <w:sz w:val="26"/>
                <w:szCs w:val="26"/>
              </w:rPr>
              <w:t>1.</w:t>
            </w:r>
            <w:r w:rsidR="00434822" w:rsidRPr="00E00D6D">
              <w:rPr>
                <w:rFonts w:ascii="標楷體" w:eastAsia="標楷體" w:hAnsi="標楷體" w:cs="Times New Roman" w:hint="eastAsia"/>
                <w:sz w:val="26"/>
                <w:szCs w:val="26"/>
              </w:rPr>
              <w:t>陽明山國家公園管理處</w:t>
            </w:r>
            <w:r w:rsidRPr="00E00D6D">
              <w:rPr>
                <w:rFonts w:ascii="標楷體" w:eastAsia="標楷體" w:hAnsi="標楷體" w:cs="Times New Roman" w:hint="eastAsia"/>
                <w:sz w:val="26"/>
                <w:szCs w:val="26"/>
              </w:rPr>
              <w:t>轄內</w:t>
            </w:r>
            <w:r w:rsidR="00434822" w:rsidRPr="00E00D6D">
              <w:rPr>
                <w:rFonts w:ascii="標楷體" w:eastAsia="標楷體" w:hAnsi="標楷體" w:cs="Times New Roman" w:hint="eastAsia"/>
                <w:sz w:val="26"/>
                <w:szCs w:val="26"/>
              </w:rPr>
              <w:t>園區12處公有停車場</w:t>
            </w:r>
            <w:r w:rsidRPr="00E00D6D">
              <w:rPr>
                <w:rFonts w:ascii="標楷體" w:eastAsia="標楷體" w:hAnsi="標楷體" w:cs="Times New Roman" w:hint="eastAsia"/>
                <w:sz w:val="26"/>
                <w:szCs w:val="26"/>
              </w:rPr>
              <w:t>(</w:t>
            </w:r>
            <w:r w:rsidRPr="00E00D6D">
              <w:rPr>
                <w:rFonts w:ascii="標楷體" w:eastAsia="標楷體" w:hAnsi="標楷體" w:hint="eastAsia"/>
                <w:sz w:val="26"/>
                <w:szCs w:val="26"/>
              </w:rPr>
              <w:t>含擎天崗區</w:t>
            </w:r>
            <w:r w:rsidR="00434822" w:rsidRPr="00E00D6D">
              <w:rPr>
                <w:rFonts w:ascii="標楷體" w:eastAsia="標楷體" w:hAnsi="標楷體" w:hint="eastAsia"/>
                <w:sz w:val="26"/>
                <w:szCs w:val="26"/>
              </w:rPr>
              <w:t>4處</w:t>
            </w:r>
            <w:r w:rsidRPr="00E00D6D">
              <w:rPr>
                <w:rFonts w:ascii="標楷體" w:eastAsia="標楷體" w:hAnsi="標楷體" w:hint="eastAsia"/>
                <w:sz w:val="26"/>
                <w:szCs w:val="26"/>
              </w:rPr>
              <w:t>及小油坑區</w:t>
            </w:r>
            <w:r w:rsidR="00434822" w:rsidRPr="00E00D6D">
              <w:rPr>
                <w:rFonts w:ascii="標楷體" w:eastAsia="標楷體" w:hAnsi="標楷體" w:hint="eastAsia"/>
                <w:sz w:val="26"/>
                <w:szCs w:val="26"/>
              </w:rPr>
              <w:t>8處）</w:t>
            </w:r>
            <w:r w:rsidRPr="00E00D6D">
              <w:rPr>
                <w:rFonts w:ascii="標楷體" w:eastAsia="標楷體" w:hAnsi="標楷體" w:hint="eastAsia"/>
                <w:sz w:val="26"/>
                <w:szCs w:val="26"/>
              </w:rPr>
              <w:t>，將全面</w:t>
            </w:r>
            <w:r w:rsidR="00434822" w:rsidRPr="00E00D6D">
              <w:rPr>
                <w:rFonts w:ascii="標楷體" w:eastAsia="標楷體" w:hAnsi="標楷體" w:hint="eastAsia"/>
                <w:sz w:val="26"/>
                <w:szCs w:val="26"/>
              </w:rPr>
              <w:t>進行委外經營管理出租</w:t>
            </w:r>
            <w:r w:rsidRPr="00E00D6D">
              <w:rPr>
                <w:rFonts w:ascii="標楷體" w:eastAsia="標楷體" w:hAnsi="標楷體" w:hint="eastAsia"/>
                <w:sz w:val="26"/>
                <w:szCs w:val="26"/>
              </w:rPr>
              <w:t>及收費</w:t>
            </w:r>
            <w:r w:rsidR="00434822" w:rsidRPr="00E00D6D">
              <w:rPr>
                <w:rFonts w:ascii="標楷體" w:eastAsia="標楷體" w:hAnsi="標楷體" w:hint="eastAsia"/>
                <w:sz w:val="26"/>
                <w:szCs w:val="26"/>
              </w:rPr>
              <w:t>。</w:t>
            </w:r>
          </w:p>
          <w:p w:rsidR="00434822" w:rsidRPr="00E00D6D" w:rsidRDefault="00434822" w:rsidP="004A2055">
            <w:pPr>
              <w:tabs>
                <w:tab w:val="left" w:pos="297"/>
              </w:tabs>
              <w:spacing w:line="0" w:lineRule="atLeast"/>
              <w:ind w:leftChars="7" w:left="267" w:hangingChars="96" w:hanging="250"/>
              <w:jc w:val="both"/>
              <w:rPr>
                <w:rFonts w:ascii="標楷體" w:eastAsia="標楷體" w:hAnsi="標楷體" w:cs="Times New Roman"/>
                <w:sz w:val="26"/>
                <w:szCs w:val="26"/>
              </w:rPr>
            </w:pPr>
            <w:r w:rsidRPr="00E00D6D">
              <w:rPr>
                <w:rFonts w:ascii="標楷體" w:eastAsia="標楷體" w:hAnsi="標楷體" w:cs="Times New Roman" w:hint="eastAsia"/>
                <w:sz w:val="26"/>
                <w:szCs w:val="26"/>
              </w:rPr>
              <w:t>2.由經營業者裝設自動收費系統，並派遣人員於現場處理各類機械故障、使用者服務，及交通擁塞時進行車輛引導。</w:t>
            </w:r>
          </w:p>
          <w:p w:rsidR="00434822" w:rsidRPr="00E00D6D" w:rsidRDefault="00434822" w:rsidP="004A2055">
            <w:pPr>
              <w:tabs>
                <w:tab w:val="left" w:pos="297"/>
              </w:tabs>
              <w:spacing w:line="0" w:lineRule="atLeast"/>
              <w:ind w:leftChars="7" w:left="267" w:hangingChars="96" w:hanging="250"/>
              <w:jc w:val="both"/>
              <w:rPr>
                <w:rFonts w:ascii="標楷體" w:eastAsia="標楷體" w:hAnsi="標楷體" w:cs="Times New Roman"/>
                <w:sz w:val="26"/>
                <w:szCs w:val="26"/>
              </w:rPr>
            </w:pPr>
            <w:r w:rsidRPr="00E00D6D">
              <w:rPr>
                <w:rFonts w:ascii="標楷體" w:eastAsia="標楷體" w:hAnsi="標楷體" w:cs="Times New Roman" w:hint="eastAsia"/>
                <w:sz w:val="26"/>
                <w:szCs w:val="26"/>
              </w:rPr>
              <w:t>3.自106年1月1日起實施。</w:t>
            </w:r>
          </w:p>
        </w:tc>
        <w:tc>
          <w:tcPr>
            <w:tcW w:w="3058" w:type="dxa"/>
          </w:tcPr>
          <w:p w:rsidR="00434822" w:rsidRPr="00E00D6D" w:rsidRDefault="00434822" w:rsidP="004A2055">
            <w:pPr>
              <w:spacing w:line="0" w:lineRule="atLeast"/>
              <w:ind w:leftChars="-5" w:left="27" w:hangingChars="15" w:hanging="39"/>
              <w:jc w:val="both"/>
              <w:rPr>
                <w:rFonts w:ascii="標楷體" w:eastAsia="標楷體" w:hAnsi="標楷體" w:cs="Times New Roman"/>
                <w:sz w:val="26"/>
                <w:szCs w:val="26"/>
              </w:rPr>
            </w:pPr>
            <w:r w:rsidRPr="00E00D6D">
              <w:rPr>
                <w:rFonts w:ascii="標楷體" w:eastAsia="標楷體" w:hAnsi="標楷體" w:cs="Times New Roman" w:hint="eastAsia"/>
                <w:sz w:val="26"/>
                <w:szCs w:val="26"/>
              </w:rPr>
              <w:t>藉由民間較為靈活的營運管理，提高停車場轉換率、鼓勵搭乘大眾運輸工具，並執行使用者付費原則，以提升陽明山國家公園管理處園區遊憩品質。</w:t>
            </w:r>
          </w:p>
          <w:p w:rsidR="00434822" w:rsidRPr="00E00D6D" w:rsidRDefault="00434822" w:rsidP="004A2055">
            <w:pPr>
              <w:spacing w:line="0" w:lineRule="atLeast"/>
              <w:jc w:val="both"/>
              <w:rPr>
                <w:rFonts w:ascii="標楷體" w:eastAsia="標楷體" w:hAnsi="標楷體" w:cs="Times New Roman"/>
                <w:sz w:val="26"/>
                <w:szCs w:val="26"/>
              </w:rPr>
            </w:pPr>
          </w:p>
        </w:tc>
        <w:tc>
          <w:tcPr>
            <w:tcW w:w="943" w:type="dxa"/>
          </w:tcPr>
          <w:p w:rsidR="00434822" w:rsidRPr="00E00D6D" w:rsidRDefault="00434822" w:rsidP="004A2055">
            <w:pPr>
              <w:spacing w:line="0" w:lineRule="atLeast"/>
              <w:jc w:val="both"/>
              <w:rPr>
                <w:rFonts w:ascii="標楷體" w:eastAsia="標楷體" w:hAnsi="標楷體" w:cs="Times New Roman"/>
                <w:sz w:val="26"/>
                <w:szCs w:val="26"/>
              </w:rPr>
            </w:pPr>
          </w:p>
        </w:tc>
      </w:tr>
      <w:tr w:rsidR="00E00D6D" w:rsidRPr="00E00D6D" w:rsidTr="00AD253D">
        <w:trPr>
          <w:jc w:val="center"/>
        </w:trPr>
        <w:tc>
          <w:tcPr>
            <w:tcW w:w="603" w:type="dxa"/>
          </w:tcPr>
          <w:p w:rsidR="00434822" w:rsidRPr="00E00D6D" w:rsidRDefault="00434822" w:rsidP="004A2055">
            <w:pPr>
              <w:numPr>
                <w:ilvl w:val="0"/>
                <w:numId w:val="2"/>
              </w:numPr>
              <w:spacing w:line="0" w:lineRule="atLeast"/>
              <w:jc w:val="center"/>
              <w:rPr>
                <w:rFonts w:ascii="標楷體" w:eastAsia="標楷體" w:hAnsi="標楷體" w:cs="Times New Roman"/>
                <w:kern w:val="0"/>
                <w:sz w:val="26"/>
                <w:szCs w:val="26"/>
              </w:rPr>
            </w:pPr>
          </w:p>
        </w:tc>
        <w:tc>
          <w:tcPr>
            <w:tcW w:w="636" w:type="dxa"/>
          </w:tcPr>
          <w:p w:rsidR="00434822" w:rsidRPr="00E00D6D" w:rsidRDefault="00434822" w:rsidP="004A2055">
            <w:pPr>
              <w:spacing w:line="0" w:lineRule="atLeast"/>
              <w:jc w:val="both"/>
              <w:rPr>
                <w:rFonts w:ascii="標楷體" w:eastAsia="標楷體" w:hAnsi="標楷體" w:cs="Times New Roman"/>
                <w:kern w:val="0"/>
                <w:sz w:val="26"/>
                <w:szCs w:val="26"/>
              </w:rPr>
            </w:pPr>
            <w:r w:rsidRPr="00E00D6D">
              <w:rPr>
                <w:rFonts w:ascii="標楷體" w:eastAsia="標楷體" w:hAnsi="標楷體" w:cs="Times New Roman" w:hint="eastAsia"/>
                <w:kern w:val="0"/>
                <w:sz w:val="26"/>
                <w:szCs w:val="26"/>
              </w:rPr>
              <w:t>役政署</w:t>
            </w:r>
          </w:p>
        </w:tc>
        <w:tc>
          <w:tcPr>
            <w:tcW w:w="1638" w:type="dxa"/>
          </w:tcPr>
          <w:p w:rsidR="00434822" w:rsidRPr="00E00D6D" w:rsidRDefault="00434822" w:rsidP="004A2055">
            <w:pPr>
              <w:spacing w:line="0" w:lineRule="atLeast"/>
              <w:jc w:val="both"/>
              <w:rPr>
                <w:rFonts w:ascii="標楷體" w:eastAsia="標楷體" w:hAnsi="標楷體" w:cs="Times New Roman"/>
                <w:kern w:val="0"/>
                <w:sz w:val="26"/>
                <w:szCs w:val="26"/>
              </w:rPr>
            </w:pPr>
            <w:r w:rsidRPr="00E00D6D">
              <w:rPr>
                <w:rFonts w:ascii="標楷體" w:eastAsia="標楷體" w:hAnsi="標楷體" w:cs="Times New Roman" w:hint="eastAsia"/>
                <w:kern w:val="0"/>
                <w:sz w:val="26"/>
                <w:szCs w:val="26"/>
              </w:rPr>
              <w:t>建置役男短期</w:t>
            </w:r>
            <w:proofErr w:type="gramStart"/>
            <w:r w:rsidRPr="00E00D6D">
              <w:rPr>
                <w:rFonts w:ascii="標楷體" w:eastAsia="標楷體" w:hAnsi="標楷體" w:cs="Times New Roman" w:hint="eastAsia"/>
                <w:kern w:val="0"/>
                <w:sz w:val="26"/>
                <w:szCs w:val="26"/>
              </w:rPr>
              <w:t>出境線上申請</w:t>
            </w:r>
            <w:proofErr w:type="gramEnd"/>
            <w:r w:rsidRPr="00E00D6D">
              <w:rPr>
                <w:rFonts w:ascii="標楷體" w:eastAsia="標楷體" w:hAnsi="標楷體" w:cs="Times New Roman" w:hint="eastAsia"/>
                <w:kern w:val="0"/>
                <w:sz w:val="26"/>
                <w:szCs w:val="26"/>
              </w:rPr>
              <w:t>作業系統</w:t>
            </w:r>
          </w:p>
        </w:tc>
        <w:tc>
          <w:tcPr>
            <w:tcW w:w="3681" w:type="dxa"/>
          </w:tcPr>
          <w:p w:rsidR="00434822" w:rsidRPr="00E00D6D" w:rsidRDefault="00434822" w:rsidP="004A2055">
            <w:pPr>
              <w:tabs>
                <w:tab w:val="left" w:pos="297"/>
              </w:tabs>
              <w:spacing w:line="0" w:lineRule="atLeast"/>
              <w:ind w:left="260" w:hangingChars="100" w:hanging="260"/>
              <w:jc w:val="both"/>
              <w:rPr>
                <w:rFonts w:ascii="標楷體" w:eastAsia="標楷體" w:hAnsi="標楷體"/>
                <w:sz w:val="26"/>
                <w:szCs w:val="26"/>
              </w:rPr>
            </w:pPr>
            <w:r w:rsidRPr="00E00D6D">
              <w:rPr>
                <w:rFonts w:ascii="標楷體" w:eastAsia="標楷體" w:hAnsi="標楷體" w:hint="eastAsia"/>
                <w:sz w:val="26"/>
                <w:szCs w:val="26"/>
              </w:rPr>
              <w:t>1.近年為因應兵役制度轉型，配合放寬役男出境規定，造成出境人數逐年攀升及案件態樣多元化。</w:t>
            </w:r>
            <w:r w:rsidR="006A41F1" w:rsidRPr="00E00D6D">
              <w:rPr>
                <w:rFonts w:ascii="標楷體" w:eastAsia="標楷體" w:hAnsi="標楷體" w:hint="eastAsia"/>
                <w:sz w:val="26"/>
                <w:szCs w:val="26"/>
              </w:rPr>
              <w:t>內政部</w:t>
            </w:r>
            <w:r w:rsidRPr="00E00D6D">
              <w:rPr>
                <w:rFonts w:ascii="標楷體" w:eastAsia="標楷體" w:hAnsi="標楷體" w:hint="eastAsia"/>
                <w:sz w:val="26"/>
                <w:szCs w:val="26"/>
              </w:rPr>
              <w:t>及各地方層級役政單位辦理役男出境相關作業亦感業務</w:t>
            </w:r>
            <w:proofErr w:type="gramStart"/>
            <w:r w:rsidRPr="00E00D6D">
              <w:rPr>
                <w:rFonts w:ascii="標楷體" w:eastAsia="標楷體" w:hAnsi="標楷體" w:hint="eastAsia"/>
                <w:sz w:val="26"/>
                <w:szCs w:val="26"/>
              </w:rPr>
              <w:t>遽</w:t>
            </w:r>
            <w:proofErr w:type="gramEnd"/>
            <w:r w:rsidRPr="00E00D6D">
              <w:rPr>
                <w:rFonts w:ascii="標楷體" w:eastAsia="標楷體" w:hAnsi="標楷體" w:hint="eastAsia"/>
                <w:sz w:val="26"/>
                <w:szCs w:val="26"/>
              </w:rPr>
              <w:t>增。且屢有役男因不諳法令規定，未事先申請出境核准，至機場後行程受阻。</w:t>
            </w:r>
          </w:p>
          <w:p w:rsidR="00434822" w:rsidRPr="00E00D6D" w:rsidRDefault="00434822" w:rsidP="004A2055">
            <w:pPr>
              <w:tabs>
                <w:tab w:val="left" w:pos="297"/>
              </w:tabs>
              <w:spacing w:line="0" w:lineRule="atLeast"/>
              <w:ind w:left="260" w:hangingChars="100" w:hanging="260"/>
              <w:jc w:val="both"/>
              <w:rPr>
                <w:rFonts w:ascii="標楷體" w:eastAsia="標楷體" w:hAnsi="標楷體"/>
                <w:sz w:val="26"/>
                <w:szCs w:val="26"/>
              </w:rPr>
            </w:pPr>
            <w:r w:rsidRPr="00E00D6D">
              <w:rPr>
                <w:rFonts w:ascii="標楷體" w:eastAsia="標楷體" w:hAnsi="標楷體" w:hint="eastAsia"/>
                <w:sz w:val="26"/>
                <w:szCs w:val="26"/>
              </w:rPr>
              <w:t>2.為簡政便民，</w:t>
            </w:r>
            <w:r w:rsidR="001E02DA" w:rsidRPr="00E00D6D">
              <w:rPr>
                <w:rFonts w:ascii="標楷體" w:eastAsia="標楷體" w:hAnsi="標楷體" w:hint="eastAsia"/>
                <w:sz w:val="26"/>
                <w:szCs w:val="26"/>
              </w:rPr>
              <w:t>改善現制役男申請短期出境，除在學緩徵之在</w:t>
            </w:r>
            <w:r w:rsidR="001E02DA" w:rsidRPr="00E00D6D">
              <w:rPr>
                <w:rFonts w:ascii="標楷體" w:eastAsia="標楷體" w:hAnsi="標楷體" w:hint="eastAsia"/>
                <w:sz w:val="26"/>
                <w:szCs w:val="26"/>
              </w:rPr>
              <w:lastRenderedPageBreak/>
              <w:t>學役男可由內政部移民署</w:t>
            </w:r>
            <w:proofErr w:type="gramStart"/>
            <w:r w:rsidR="001E02DA" w:rsidRPr="00E00D6D">
              <w:rPr>
                <w:rFonts w:ascii="標楷體" w:eastAsia="標楷體" w:hAnsi="標楷體" w:hint="eastAsia"/>
                <w:sz w:val="26"/>
                <w:szCs w:val="26"/>
              </w:rPr>
              <w:t>網站線上申請</w:t>
            </w:r>
            <w:proofErr w:type="gramEnd"/>
            <w:r w:rsidR="001E02DA" w:rsidRPr="00E00D6D">
              <w:rPr>
                <w:rFonts w:ascii="標楷體" w:eastAsia="標楷體" w:hAnsi="標楷體" w:hint="eastAsia"/>
                <w:sz w:val="26"/>
                <w:szCs w:val="26"/>
              </w:rPr>
              <w:t>核准出境外，其餘皆由役男</w:t>
            </w:r>
            <w:proofErr w:type="gramStart"/>
            <w:r w:rsidR="001E02DA" w:rsidRPr="00E00D6D">
              <w:rPr>
                <w:rFonts w:ascii="標楷體" w:eastAsia="標楷體" w:hAnsi="標楷體" w:hint="eastAsia"/>
                <w:sz w:val="26"/>
                <w:szCs w:val="26"/>
              </w:rPr>
              <w:t>至公所臨櫃</w:t>
            </w:r>
            <w:proofErr w:type="gramEnd"/>
            <w:r w:rsidR="001E02DA" w:rsidRPr="00E00D6D">
              <w:rPr>
                <w:rFonts w:ascii="標楷體" w:eastAsia="標楷體" w:hAnsi="標楷體" w:hint="eastAsia"/>
                <w:sz w:val="26"/>
                <w:szCs w:val="26"/>
              </w:rPr>
              <w:t>申請的不便，</w:t>
            </w:r>
            <w:r w:rsidR="006A41F1" w:rsidRPr="00E00D6D">
              <w:rPr>
                <w:rFonts w:ascii="標楷體" w:eastAsia="標楷體" w:hAnsi="標楷體" w:hint="eastAsia"/>
                <w:sz w:val="26"/>
                <w:szCs w:val="26"/>
              </w:rPr>
              <w:t>內政部</w:t>
            </w:r>
            <w:r w:rsidRPr="00E00D6D">
              <w:rPr>
                <w:rFonts w:ascii="標楷體" w:eastAsia="標楷體" w:hAnsi="標楷體" w:hint="eastAsia"/>
                <w:sz w:val="26"/>
                <w:szCs w:val="26"/>
              </w:rPr>
              <w:t>已</w:t>
            </w:r>
            <w:proofErr w:type="gramStart"/>
            <w:r w:rsidRPr="00E00D6D">
              <w:rPr>
                <w:rFonts w:ascii="標楷體" w:eastAsia="標楷體" w:hAnsi="標楷體" w:hint="eastAsia"/>
                <w:sz w:val="26"/>
                <w:szCs w:val="26"/>
              </w:rPr>
              <w:t>規劃於戶役</w:t>
            </w:r>
            <w:proofErr w:type="gramEnd"/>
            <w:r w:rsidRPr="00E00D6D">
              <w:rPr>
                <w:rFonts w:ascii="標楷體" w:eastAsia="標楷體" w:hAnsi="標楷體" w:hint="eastAsia"/>
                <w:sz w:val="26"/>
                <w:szCs w:val="26"/>
              </w:rPr>
              <w:t>政資訊系統建置「役男短期</w:t>
            </w:r>
            <w:proofErr w:type="gramStart"/>
            <w:r w:rsidRPr="00E00D6D">
              <w:rPr>
                <w:rFonts w:ascii="標楷體" w:eastAsia="標楷體" w:hAnsi="標楷體" w:hint="eastAsia"/>
                <w:sz w:val="26"/>
                <w:szCs w:val="26"/>
              </w:rPr>
              <w:t>出境線上申請</w:t>
            </w:r>
            <w:proofErr w:type="gramEnd"/>
            <w:r w:rsidRPr="00E00D6D">
              <w:rPr>
                <w:rFonts w:ascii="標楷體" w:eastAsia="標楷體" w:hAnsi="標楷體" w:hint="eastAsia"/>
                <w:sz w:val="26"/>
                <w:szCs w:val="26"/>
              </w:rPr>
              <w:t>作業系統」，役男可隨時於網路申辦，經系統查核無兵役管制情形者，即時核准，以達到全年365天，全天24小時服務。</w:t>
            </w:r>
          </w:p>
          <w:p w:rsidR="00434822" w:rsidRPr="00E00D6D" w:rsidRDefault="00434822" w:rsidP="004A2055">
            <w:pPr>
              <w:tabs>
                <w:tab w:val="left" w:pos="297"/>
              </w:tabs>
              <w:spacing w:line="0" w:lineRule="atLeast"/>
              <w:ind w:left="260" w:hangingChars="100" w:hanging="260"/>
              <w:jc w:val="both"/>
              <w:rPr>
                <w:rFonts w:ascii="標楷體" w:eastAsia="標楷體" w:hAnsi="標楷體"/>
                <w:sz w:val="26"/>
                <w:szCs w:val="26"/>
              </w:rPr>
            </w:pPr>
            <w:r w:rsidRPr="00E00D6D">
              <w:rPr>
                <w:rFonts w:ascii="標楷體" w:eastAsia="標楷體" w:hAnsi="標楷體" w:hint="eastAsia"/>
                <w:sz w:val="26"/>
                <w:szCs w:val="26"/>
              </w:rPr>
              <w:t>3.本系統預訂於106年</w:t>
            </w:r>
            <w:r w:rsidR="00EE49FD" w:rsidRPr="00E00D6D">
              <w:rPr>
                <w:rFonts w:ascii="標楷體" w:eastAsia="標楷體" w:hAnsi="標楷體" w:hint="eastAsia"/>
                <w:sz w:val="26"/>
                <w:szCs w:val="26"/>
              </w:rPr>
              <w:t>元旦</w:t>
            </w:r>
            <w:r w:rsidRPr="00E00D6D">
              <w:rPr>
                <w:rFonts w:ascii="標楷體" w:eastAsia="標楷體" w:hAnsi="標楷體" w:hint="eastAsia"/>
                <w:sz w:val="26"/>
                <w:szCs w:val="26"/>
              </w:rPr>
              <w:t>起開始</w:t>
            </w:r>
            <w:proofErr w:type="gramStart"/>
            <w:r w:rsidRPr="00E00D6D">
              <w:rPr>
                <w:rFonts w:ascii="標楷體" w:eastAsia="標楷體" w:hAnsi="標楷體" w:hint="eastAsia"/>
                <w:sz w:val="26"/>
                <w:szCs w:val="26"/>
              </w:rPr>
              <w:t>受理線上申請</w:t>
            </w:r>
            <w:proofErr w:type="gramEnd"/>
            <w:r w:rsidRPr="00E00D6D">
              <w:rPr>
                <w:rFonts w:ascii="標楷體" w:eastAsia="標楷體" w:hAnsi="標楷體" w:hint="eastAsia"/>
                <w:sz w:val="26"/>
                <w:szCs w:val="26"/>
              </w:rPr>
              <w:t>，未來將持續彙整民眾與各相關機關意見，期能提升行政運作效率，且增進為民服務品質。</w:t>
            </w:r>
          </w:p>
          <w:p w:rsidR="00EE49FD" w:rsidRPr="00E00D6D" w:rsidRDefault="00EE49FD" w:rsidP="004A2055">
            <w:pPr>
              <w:tabs>
                <w:tab w:val="left" w:pos="297"/>
              </w:tabs>
              <w:spacing w:line="0" w:lineRule="atLeast"/>
              <w:ind w:left="260" w:hangingChars="100" w:hanging="260"/>
              <w:jc w:val="both"/>
              <w:rPr>
                <w:rFonts w:ascii="標楷體" w:eastAsia="標楷體" w:hAnsi="標楷體"/>
                <w:sz w:val="26"/>
                <w:szCs w:val="26"/>
              </w:rPr>
            </w:pPr>
            <w:r w:rsidRPr="00E00D6D">
              <w:rPr>
                <w:rFonts w:ascii="標楷體" w:eastAsia="標楷體" w:hAnsi="標楷體" w:hint="eastAsia"/>
                <w:sz w:val="26"/>
                <w:szCs w:val="26"/>
              </w:rPr>
              <w:t>4.自106年1月1日起實施。</w:t>
            </w:r>
          </w:p>
        </w:tc>
        <w:tc>
          <w:tcPr>
            <w:tcW w:w="3058" w:type="dxa"/>
          </w:tcPr>
          <w:p w:rsidR="00434822" w:rsidRPr="00E00D6D" w:rsidRDefault="00D674A7" w:rsidP="004A2055">
            <w:pPr>
              <w:spacing w:line="0" w:lineRule="atLeast"/>
              <w:jc w:val="both"/>
              <w:rPr>
                <w:rFonts w:ascii="標楷體" w:eastAsia="標楷體" w:hAnsi="標楷體" w:cs="Times New Roman"/>
                <w:sz w:val="26"/>
                <w:szCs w:val="26"/>
              </w:rPr>
            </w:pPr>
            <w:r w:rsidRPr="00E00D6D">
              <w:rPr>
                <w:rFonts w:ascii="標楷體" w:eastAsia="標楷體" w:hAnsi="標楷體" w:cs="Times New Roman" w:hint="eastAsia"/>
                <w:sz w:val="26"/>
                <w:szCs w:val="26"/>
              </w:rPr>
              <w:lastRenderedPageBreak/>
              <w:t>新建置之系統，</w:t>
            </w:r>
            <w:r w:rsidR="00D12452" w:rsidRPr="00E00D6D">
              <w:rPr>
                <w:rFonts w:ascii="標楷體" w:eastAsia="標楷體" w:hAnsi="標楷體" w:cs="Times New Roman" w:hint="eastAsia"/>
                <w:sz w:val="26"/>
                <w:szCs w:val="26"/>
              </w:rPr>
              <w:t>尚未履行兵役義務之役男，不論在學緩徵或非在學緩徵者，均可於出境前</w:t>
            </w:r>
            <w:r w:rsidR="00B8720D" w:rsidRPr="00E00D6D">
              <w:rPr>
                <w:rFonts w:ascii="標楷體" w:eastAsia="標楷體" w:hAnsi="標楷體" w:cs="Times New Roman" w:hint="eastAsia"/>
                <w:sz w:val="26"/>
                <w:szCs w:val="26"/>
              </w:rPr>
              <w:t>30</w:t>
            </w:r>
            <w:r w:rsidR="00D12452" w:rsidRPr="00E00D6D">
              <w:rPr>
                <w:rFonts w:ascii="標楷體" w:eastAsia="標楷體" w:hAnsi="標楷體" w:cs="Times New Roman" w:hint="eastAsia"/>
                <w:sz w:val="26"/>
                <w:szCs w:val="26"/>
              </w:rPr>
              <w:t>日隨時</w:t>
            </w:r>
            <w:proofErr w:type="gramStart"/>
            <w:r w:rsidR="00D12452" w:rsidRPr="00E00D6D">
              <w:rPr>
                <w:rFonts w:ascii="標楷體" w:eastAsia="標楷體" w:hAnsi="標楷體" w:cs="Times New Roman" w:hint="eastAsia"/>
                <w:sz w:val="26"/>
                <w:szCs w:val="26"/>
              </w:rPr>
              <w:t>於線上申請</w:t>
            </w:r>
            <w:proofErr w:type="gramEnd"/>
            <w:r w:rsidR="00D12452" w:rsidRPr="00E00D6D">
              <w:rPr>
                <w:rFonts w:ascii="標楷體" w:eastAsia="標楷體" w:hAnsi="標楷體" w:cs="Times New Roman" w:hint="eastAsia"/>
                <w:sz w:val="26"/>
                <w:szCs w:val="26"/>
              </w:rPr>
              <w:t>，</w:t>
            </w:r>
            <w:r w:rsidR="00D12452" w:rsidRPr="00E00D6D">
              <w:rPr>
                <w:rFonts w:ascii="標楷體" w:eastAsia="標楷體" w:hAnsi="標楷體" w:cs="Times New Roman" w:hint="eastAsia"/>
                <w:sz w:val="26"/>
                <w:szCs w:val="26"/>
              </w:rPr>
              <w:t>無</w:t>
            </w:r>
            <w:r w:rsidR="00B8720D" w:rsidRPr="00E00D6D">
              <w:rPr>
                <w:rFonts w:ascii="標楷體" w:eastAsia="標楷體" w:hAnsi="標楷體" w:cs="Times New Roman" w:hint="eastAsia"/>
                <w:sz w:val="26"/>
                <w:szCs w:val="26"/>
              </w:rPr>
              <w:t>須</w:t>
            </w:r>
            <w:r w:rsidR="00D12452" w:rsidRPr="00E00D6D">
              <w:rPr>
                <w:rFonts w:ascii="標楷體" w:eastAsia="標楷體" w:hAnsi="標楷體" w:cs="Times New Roman" w:hint="eastAsia"/>
                <w:sz w:val="26"/>
                <w:szCs w:val="26"/>
              </w:rPr>
              <w:t>臨櫃，只要查無兵役管制情形</w:t>
            </w:r>
            <w:r w:rsidR="00D12452" w:rsidRPr="00E00D6D">
              <w:rPr>
                <w:rFonts w:ascii="標楷體" w:eastAsia="標楷體" w:hAnsi="標楷體" w:cs="Times New Roman" w:hint="eastAsia"/>
                <w:sz w:val="26"/>
                <w:szCs w:val="26"/>
              </w:rPr>
              <w:t>，即可</w:t>
            </w:r>
            <w:r w:rsidR="00D12452" w:rsidRPr="00E00D6D">
              <w:rPr>
                <w:rFonts w:ascii="標楷體" w:eastAsia="標楷體" w:hAnsi="標楷體" w:cs="Times New Roman" w:hint="eastAsia"/>
                <w:sz w:val="26"/>
                <w:szCs w:val="26"/>
              </w:rPr>
              <w:t>完成核准審查程序，</w:t>
            </w:r>
            <w:r w:rsidR="00434822" w:rsidRPr="00E00D6D">
              <w:rPr>
                <w:rFonts w:ascii="標楷體" w:eastAsia="標楷體" w:hAnsi="標楷體" w:cs="Times New Roman" w:hint="eastAsia"/>
                <w:sz w:val="26"/>
                <w:szCs w:val="26"/>
              </w:rPr>
              <w:t>達到全年365天，全天24小時服務</w:t>
            </w:r>
            <w:r w:rsidR="001E02DA" w:rsidRPr="00E00D6D">
              <w:rPr>
                <w:rFonts w:ascii="標楷體" w:eastAsia="標楷體" w:hAnsi="標楷體" w:cs="Times New Roman" w:hint="eastAsia"/>
                <w:sz w:val="26"/>
                <w:szCs w:val="26"/>
              </w:rPr>
              <w:t>，初估每年將有</w:t>
            </w:r>
            <w:r w:rsidR="001E02DA" w:rsidRPr="00E00D6D">
              <w:rPr>
                <w:rFonts w:ascii="標楷體" w:eastAsia="標楷體" w:hAnsi="標楷體" w:cs="Times New Roman"/>
                <w:sz w:val="26"/>
                <w:szCs w:val="26"/>
              </w:rPr>
              <w:t>15</w:t>
            </w:r>
            <w:r w:rsidR="001E02DA" w:rsidRPr="00E00D6D">
              <w:rPr>
                <w:rFonts w:ascii="標楷體" w:eastAsia="標楷體" w:hAnsi="標楷體" w:cs="Times New Roman" w:hint="eastAsia"/>
                <w:sz w:val="26"/>
                <w:szCs w:val="26"/>
              </w:rPr>
              <w:t>萬名以上役男受益</w:t>
            </w:r>
            <w:r w:rsidR="00434822" w:rsidRPr="00E00D6D">
              <w:rPr>
                <w:rFonts w:ascii="標楷體" w:eastAsia="標楷體" w:hAnsi="標楷體" w:cs="Times New Roman" w:hint="eastAsia"/>
                <w:sz w:val="26"/>
                <w:szCs w:val="26"/>
              </w:rPr>
              <w:t>。</w:t>
            </w:r>
          </w:p>
          <w:p w:rsidR="00434822" w:rsidRPr="00E00D6D" w:rsidRDefault="00434822" w:rsidP="004A2055">
            <w:pPr>
              <w:spacing w:line="0" w:lineRule="atLeast"/>
              <w:jc w:val="both"/>
              <w:rPr>
                <w:rFonts w:ascii="標楷體" w:eastAsia="標楷體" w:hAnsi="標楷體" w:cs="Times New Roman"/>
                <w:sz w:val="26"/>
                <w:szCs w:val="26"/>
              </w:rPr>
            </w:pPr>
          </w:p>
        </w:tc>
        <w:tc>
          <w:tcPr>
            <w:tcW w:w="943" w:type="dxa"/>
          </w:tcPr>
          <w:p w:rsidR="00434822" w:rsidRPr="00E00D6D" w:rsidRDefault="00434822" w:rsidP="004A2055">
            <w:pPr>
              <w:spacing w:line="0" w:lineRule="atLeast"/>
              <w:jc w:val="both"/>
              <w:rPr>
                <w:rFonts w:ascii="標楷體" w:eastAsia="標楷體" w:hAnsi="標楷體" w:cs="Times New Roman"/>
                <w:sz w:val="26"/>
                <w:szCs w:val="26"/>
              </w:rPr>
            </w:pPr>
          </w:p>
        </w:tc>
      </w:tr>
      <w:tr w:rsidR="00E00D6D" w:rsidRPr="00E00D6D" w:rsidTr="00866BE2">
        <w:trPr>
          <w:jc w:val="center"/>
        </w:trPr>
        <w:tc>
          <w:tcPr>
            <w:tcW w:w="603" w:type="dxa"/>
          </w:tcPr>
          <w:p w:rsidR="004F38EF" w:rsidRPr="00E00D6D" w:rsidRDefault="004F38EF" w:rsidP="004A2055">
            <w:pPr>
              <w:numPr>
                <w:ilvl w:val="0"/>
                <w:numId w:val="2"/>
              </w:numPr>
              <w:spacing w:line="0" w:lineRule="atLeast"/>
              <w:jc w:val="center"/>
              <w:rPr>
                <w:rFonts w:ascii="標楷體" w:eastAsia="標楷體" w:hAnsi="標楷體" w:cs="Times New Roman"/>
                <w:kern w:val="0"/>
                <w:sz w:val="26"/>
                <w:szCs w:val="26"/>
              </w:rPr>
            </w:pPr>
          </w:p>
        </w:tc>
        <w:tc>
          <w:tcPr>
            <w:tcW w:w="636" w:type="dxa"/>
          </w:tcPr>
          <w:p w:rsidR="004F38EF" w:rsidRPr="00E00D6D" w:rsidRDefault="004F38EF" w:rsidP="004A2055">
            <w:pPr>
              <w:spacing w:line="0" w:lineRule="atLeast"/>
              <w:jc w:val="both"/>
              <w:rPr>
                <w:rFonts w:ascii="標楷體" w:eastAsia="標楷體" w:hAnsi="標楷體" w:cs="Times New Roman"/>
                <w:kern w:val="0"/>
                <w:sz w:val="26"/>
                <w:szCs w:val="26"/>
              </w:rPr>
            </w:pPr>
            <w:r w:rsidRPr="00E00D6D">
              <w:rPr>
                <w:rFonts w:ascii="標楷體" w:eastAsia="標楷體" w:hAnsi="標楷體" w:cs="Times New Roman" w:hint="eastAsia"/>
                <w:kern w:val="0"/>
                <w:sz w:val="26"/>
                <w:szCs w:val="26"/>
              </w:rPr>
              <w:t>移民署</w:t>
            </w:r>
          </w:p>
          <w:p w:rsidR="004F38EF" w:rsidRPr="00E00D6D" w:rsidRDefault="004F38EF" w:rsidP="004A2055">
            <w:pPr>
              <w:spacing w:line="0" w:lineRule="atLeast"/>
              <w:jc w:val="both"/>
              <w:rPr>
                <w:rFonts w:ascii="標楷體" w:eastAsia="標楷體" w:hAnsi="標楷體" w:cs="Times New Roman"/>
                <w:kern w:val="0"/>
                <w:sz w:val="26"/>
                <w:szCs w:val="26"/>
              </w:rPr>
            </w:pPr>
          </w:p>
        </w:tc>
        <w:tc>
          <w:tcPr>
            <w:tcW w:w="1638" w:type="dxa"/>
          </w:tcPr>
          <w:p w:rsidR="004F38EF" w:rsidRPr="00E00D6D" w:rsidRDefault="004F38EF" w:rsidP="004A2055">
            <w:pPr>
              <w:spacing w:line="0" w:lineRule="atLeast"/>
              <w:jc w:val="both"/>
              <w:rPr>
                <w:rFonts w:ascii="標楷體" w:eastAsia="標楷體" w:hAnsi="標楷體" w:cs="Times New Roman"/>
                <w:sz w:val="26"/>
                <w:szCs w:val="26"/>
              </w:rPr>
            </w:pPr>
            <w:r w:rsidRPr="00E00D6D">
              <w:rPr>
                <w:rFonts w:ascii="標楷體" w:eastAsia="標楷體" w:hAnsi="標楷體" w:hint="eastAsia"/>
                <w:noProof/>
                <w:sz w:val="26"/>
                <w:szCs w:val="26"/>
              </w:rPr>
              <w:t>香港澳門居民搭乘郵輪來臺簡化申辦網簽程序</w:t>
            </w:r>
          </w:p>
        </w:tc>
        <w:tc>
          <w:tcPr>
            <w:tcW w:w="3681" w:type="dxa"/>
          </w:tcPr>
          <w:p w:rsidR="004F38EF" w:rsidRPr="00E00D6D" w:rsidRDefault="004F38EF" w:rsidP="004A2055">
            <w:pPr>
              <w:tabs>
                <w:tab w:val="left" w:pos="349"/>
              </w:tabs>
              <w:spacing w:line="0" w:lineRule="atLeast"/>
              <w:ind w:left="260" w:hangingChars="100" w:hanging="260"/>
              <w:jc w:val="both"/>
              <w:rPr>
                <w:rFonts w:ascii="標楷體" w:eastAsia="標楷體" w:hAnsi="標楷體"/>
                <w:sz w:val="26"/>
                <w:szCs w:val="26"/>
                <w:lang w:val="zh-TW"/>
              </w:rPr>
            </w:pPr>
            <w:r w:rsidRPr="00E00D6D">
              <w:rPr>
                <w:rFonts w:ascii="標楷體" w:eastAsia="標楷體" w:hAnsi="標楷體" w:hint="eastAsia"/>
                <w:sz w:val="26"/>
                <w:szCs w:val="26"/>
              </w:rPr>
              <w:t>1.</w:t>
            </w:r>
            <w:r w:rsidRPr="00E00D6D">
              <w:rPr>
                <w:rFonts w:ascii="標楷體" w:eastAsia="標楷體" w:hAnsi="標楷體" w:hint="eastAsia"/>
                <w:sz w:val="26"/>
                <w:szCs w:val="26"/>
                <w:lang w:val="zh-TW"/>
              </w:rPr>
              <w:t>為友善回應產業需求，</w:t>
            </w:r>
            <w:r w:rsidR="006A41F1" w:rsidRPr="00E00D6D">
              <w:rPr>
                <w:rFonts w:ascii="標楷體" w:eastAsia="標楷體" w:hAnsi="標楷體" w:hint="eastAsia"/>
                <w:sz w:val="26"/>
                <w:szCs w:val="26"/>
                <w:lang w:val="zh-TW"/>
              </w:rPr>
              <w:t>內政部</w:t>
            </w:r>
            <w:r w:rsidR="001B3A2E" w:rsidRPr="00E00D6D">
              <w:rPr>
                <w:rFonts w:ascii="標楷體" w:eastAsia="標楷體" w:hAnsi="標楷體" w:hint="eastAsia"/>
                <w:sz w:val="26"/>
                <w:szCs w:val="26"/>
                <w:lang w:val="zh-TW"/>
              </w:rPr>
              <w:t>移民</w:t>
            </w:r>
            <w:r w:rsidRPr="00E00D6D">
              <w:rPr>
                <w:rFonts w:ascii="標楷體" w:eastAsia="標楷體" w:hAnsi="標楷體" w:hint="eastAsia"/>
                <w:sz w:val="26"/>
                <w:szCs w:val="26"/>
                <w:lang w:val="zh-TW"/>
              </w:rPr>
              <w:t>署前於102年除放寬大陸地區人民搭乘郵輪來</w:t>
            </w:r>
            <w:proofErr w:type="gramStart"/>
            <w:r w:rsidRPr="00E00D6D">
              <w:rPr>
                <w:rFonts w:ascii="標楷體" w:eastAsia="標楷體" w:hAnsi="標楷體" w:hint="eastAsia"/>
                <w:sz w:val="26"/>
                <w:szCs w:val="26"/>
                <w:lang w:val="zh-TW"/>
              </w:rPr>
              <w:t>臺</w:t>
            </w:r>
            <w:proofErr w:type="gramEnd"/>
            <w:r w:rsidRPr="00E00D6D">
              <w:rPr>
                <w:rFonts w:ascii="標楷體" w:eastAsia="標楷體" w:hAnsi="標楷體" w:hint="eastAsia"/>
                <w:sz w:val="26"/>
                <w:szCs w:val="26"/>
                <w:lang w:val="zh-TW"/>
              </w:rPr>
              <w:t>者得1次申請2張入出境許可證，亦放寬香港澳門居民</w:t>
            </w:r>
            <w:r w:rsidRPr="00E00D6D">
              <w:rPr>
                <w:rFonts w:ascii="標楷體" w:eastAsia="標楷體" w:hAnsi="標楷體" w:hint="eastAsia"/>
                <w:sz w:val="26"/>
                <w:szCs w:val="26"/>
              </w:rPr>
              <w:t>申辦</w:t>
            </w:r>
            <w:proofErr w:type="gramStart"/>
            <w:r w:rsidRPr="00E00D6D">
              <w:rPr>
                <w:rFonts w:ascii="標楷體" w:eastAsia="標楷體" w:hAnsi="標楷體" w:hint="eastAsia"/>
                <w:sz w:val="26"/>
                <w:szCs w:val="26"/>
              </w:rPr>
              <w:t>網簽並</w:t>
            </w:r>
            <w:proofErr w:type="gramEnd"/>
            <w:r w:rsidRPr="00E00D6D">
              <w:rPr>
                <w:rFonts w:ascii="標楷體" w:eastAsia="標楷體" w:hAnsi="標楷體" w:hint="eastAsia"/>
                <w:sz w:val="26"/>
                <w:szCs w:val="26"/>
                <w:lang w:val="zh-TW"/>
              </w:rPr>
              <w:t>持憑該證來</w:t>
            </w:r>
            <w:proofErr w:type="gramStart"/>
            <w:r w:rsidRPr="00E00D6D">
              <w:rPr>
                <w:rFonts w:ascii="標楷體" w:eastAsia="標楷體" w:hAnsi="標楷體" w:hint="eastAsia"/>
                <w:sz w:val="26"/>
                <w:szCs w:val="26"/>
                <w:lang w:val="zh-TW"/>
              </w:rPr>
              <w:t>臺</w:t>
            </w:r>
            <w:proofErr w:type="gramEnd"/>
            <w:r w:rsidRPr="00E00D6D">
              <w:rPr>
                <w:rFonts w:ascii="標楷體" w:eastAsia="標楷體" w:hAnsi="標楷體" w:hint="eastAsia"/>
                <w:sz w:val="26"/>
                <w:szCs w:val="26"/>
                <w:lang w:val="zh-TW"/>
              </w:rPr>
              <w:t>者，入境後即得再申辦下1</w:t>
            </w:r>
            <w:proofErr w:type="gramStart"/>
            <w:r w:rsidRPr="00E00D6D">
              <w:rPr>
                <w:rFonts w:ascii="標楷體" w:eastAsia="標楷體" w:hAnsi="標楷體" w:hint="eastAsia"/>
                <w:sz w:val="26"/>
                <w:szCs w:val="26"/>
                <w:lang w:val="zh-TW"/>
              </w:rPr>
              <w:t>張網簽等簡化</w:t>
            </w:r>
            <w:proofErr w:type="gramEnd"/>
            <w:r w:rsidRPr="00E00D6D">
              <w:rPr>
                <w:rFonts w:ascii="標楷體" w:eastAsia="標楷體" w:hAnsi="標楷體" w:hint="eastAsia"/>
                <w:sz w:val="26"/>
                <w:szCs w:val="26"/>
                <w:lang w:val="zh-TW"/>
              </w:rPr>
              <w:t>措施。</w:t>
            </w:r>
          </w:p>
          <w:p w:rsidR="004F38EF" w:rsidRPr="00E00D6D" w:rsidRDefault="004F38EF" w:rsidP="004A2055">
            <w:pPr>
              <w:spacing w:line="0" w:lineRule="atLeast"/>
              <w:ind w:leftChars="6" w:left="300" w:hangingChars="110" w:hanging="286"/>
              <w:jc w:val="both"/>
              <w:rPr>
                <w:rFonts w:ascii="標楷體" w:eastAsia="標楷體" w:hAnsi="標楷體"/>
                <w:sz w:val="26"/>
                <w:szCs w:val="26"/>
                <w:lang w:val="zh-TW"/>
              </w:rPr>
            </w:pPr>
            <w:r w:rsidRPr="00E00D6D">
              <w:rPr>
                <w:rFonts w:ascii="標楷體" w:eastAsia="標楷體" w:hAnsi="標楷體" w:hint="eastAsia"/>
                <w:sz w:val="26"/>
                <w:szCs w:val="26"/>
                <w:lang w:val="zh-TW"/>
              </w:rPr>
              <w:t>2.近年來，郵輪產業蓬勃發展，臺灣相關產業除爭取國際郵輪以臺灣為母港外，亦積極拓展大陸地區人民及港澳居民搭乘郵輪來</w:t>
            </w:r>
            <w:proofErr w:type="gramStart"/>
            <w:r w:rsidRPr="00E00D6D">
              <w:rPr>
                <w:rFonts w:ascii="標楷體" w:eastAsia="標楷體" w:hAnsi="標楷體" w:hint="eastAsia"/>
                <w:sz w:val="26"/>
                <w:szCs w:val="26"/>
                <w:lang w:val="zh-TW"/>
              </w:rPr>
              <w:t>臺</w:t>
            </w:r>
            <w:proofErr w:type="gramEnd"/>
            <w:r w:rsidRPr="00E00D6D">
              <w:rPr>
                <w:rFonts w:ascii="標楷體" w:eastAsia="標楷體" w:hAnsi="標楷體" w:hint="eastAsia"/>
                <w:sz w:val="26"/>
                <w:szCs w:val="26"/>
                <w:lang w:val="zh-TW"/>
              </w:rPr>
              <w:t>旅遊之市場，訂於106年</w:t>
            </w:r>
            <w:r w:rsidR="0040007D" w:rsidRPr="00E00D6D">
              <w:rPr>
                <w:rFonts w:ascii="標楷體" w:eastAsia="標楷體" w:hAnsi="標楷體" w:hint="eastAsia"/>
                <w:sz w:val="26"/>
                <w:szCs w:val="26"/>
                <w:lang w:val="zh-TW"/>
              </w:rPr>
              <w:t>元旦</w:t>
            </w:r>
            <w:r w:rsidRPr="00E00D6D">
              <w:rPr>
                <w:rFonts w:ascii="標楷體" w:eastAsia="標楷體" w:hAnsi="標楷體" w:hint="eastAsia"/>
                <w:sz w:val="26"/>
                <w:szCs w:val="26"/>
                <w:lang w:val="zh-TW"/>
              </w:rPr>
              <w:t>起</w:t>
            </w:r>
            <w:r w:rsidRPr="00E00D6D">
              <w:rPr>
                <w:rFonts w:ascii="標楷體" w:eastAsia="標楷體" w:hAnsi="標楷體" w:hint="eastAsia"/>
                <w:noProof/>
                <w:sz w:val="26"/>
                <w:szCs w:val="26"/>
              </w:rPr>
              <w:t>正式推動港澳居民搭乘郵輪來臺者得</w:t>
            </w:r>
            <w:r w:rsidR="00942115" w:rsidRPr="00E00D6D">
              <w:rPr>
                <w:rFonts w:ascii="標楷體" w:eastAsia="標楷體" w:hAnsi="標楷體" w:hint="eastAsia"/>
                <w:sz w:val="26"/>
                <w:szCs w:val="26"/>
                <w:lang w:val="zh-TW"/>
              </w:rPr>
              <w:t>於網路</w:t>
            </w:r>
            <w:r w:rsidRPr="00E00D6D">
              <w:rPr>
                <w:rFonts w:ascii="標楷體" w:eastAsia="標楷體" w:hAnsi="標楷體" w:hint="eastAsia"/>
                <w:sz w:val="26"/>
                <w:szCs w:val="26"/>
                <w:lang w:val="zh-TW"/>
              </w:rPr>
              <w:t>1次申辦2張網簽(1次2證，2次入出使用)。</w:t>
            </w:r>
          </w:p>
          <w:p w:rsidR="0040007D" w:rsidRPr="00E00D6D" w:rsidRDefault="0040007D" w:rsidP="004A2055">
            <w:pPr>
              <w:spacing w:line="0" w:lineRule="atLeast"/>
              <w:ind w:leftChars="6" w:left="300" w:hangingChars="110" w:hanging="286"/>
              <w:jc w:val="both"/>
              <w:rPr>
                <w:rFonts w:ascii="標楷體" w:eastAsia="標楷體" w:hAnsi="標楷體"/>
                <w:sz w:val="26"/>
                <w:szCs w:val="26"/>
              </w:rPr>
            </w:pPr>
            <w:r w:rsidRPr="00E00D6D">
              <w:rPr>
                <w:rFonts w:ascii="標楷體" w:eastAsia="標楷體" w:hAnsi="標楷體" w:hint="eastAsia"/>
                <w:sz w:val="26"/>
                <w:szCs w:val="26"/>
              </w:rPr>
              <w:t>3.自106年1月1日起實施。</w:t>
            </w:r>
          </w:p>
        </w:tc>
        <w:tc>
          <w:tcPr>
            <w:tcW w:w="3058" w:type="dxa"/>
          </w:tcPr>
          <w:p w:rsidR="004F38EF" w:rsidRPr="00E00D6D" w:rsidRDefault="004F38EF" w:rsidP="004A2055">
            <w:pPr>
              <w:spacing w:line="0" w:lineRule="atLeast"/>
              <w:jc w:val="both"/>
              <w:rPr>
                <w:rFonts w:ascii="標楷體" w:eastAsia="標楷體" w:hAnsi="標楷體" w:cs="Times New Roman"/>
                <w:sz w:val="26"/>
                <w:szCs w:val="26"/>
              </w:rPr>
            </w:pPr>
            <w:r w:rsidRPr="00E00D6D">
              <w:rPr>
                <w:rFonts w:ascii="標楷體" w:eastAsia="標楷體" w:hAnsi="標楷體" w:hint="eastAsia"/>
                <w:bCs/>
                <w:sz w:val="26"/>
                <w:szCs w:val="26"/>
              </w:rPr>
              <w:t>有關香港澳門居民搭乘郵輪來</w:t>
            </w:r>
            <w:proofErr w:type="gramStart"/>
            <w:r w:rsidRPr="00E00D6D">
              <w:rPr>
                <w:rFonts w:ascii="標楷體" w:eastAsia="標楷體" w:hAnsi="標楷體" w:hint="eastAsia"/>
                <w:bCs/>
                <w:sz w:val="26"/>
                <w:szCs w:val="26"/>
              </w:rPr>
              <w:t>臺</w:t>
            </w:r>
            <w:proofErr w:type="gramEnd"/>
            <w:r w:rsidRPr="00E00D6D">
              <w:rPr>
                <w:rFonts w:ascii="標楷體" w:eastAsia="標楷體" w:hAnsi="標楷體" w:hint="eastAsia"/>
                <w:bCs/>
                <w:sz w:val="26"/>
                <w:szCs w:val="26"/>
              </w:rPr>
              <w:t>簡化</w:t>
            </w:r>
            <w:proofErr w:type="gramStart"/>
            <w:r w:rsidRPr="00E00D6D">
              <w:rPr>
                <w:rFonts w:ascii="標楷體" w:eastAsia="標楷體" w:hAnsi="標楷體" w:hint="eastAsia"/>
                <w:bCs/>
                <w:sz w:val="26"/>
                <w:szCs w:val="26"/>
              </w:rPr>
              <w:t>申辦網簽程序</w:t>
            </w:r>
            <w:proofErr w:type="gramEnd"/>
            <w:r w:rsidRPr="00E00D6D">
              <w:rPr>
                <w:rFonts w:ascii="標楷體" w:eastAsia="標楷體" w:hAnsi="標楷體" w:hint="eastAsia"/>
                <w:bCs/>
                <w:sz w:val="26"/>
                <w:szCs w:val="26"/>
              </w:rPr>
              <w:t>，對內除有效節省核發落地簽之人力外，對外亦可提高郵輪旅客及業者滿意度並促進觀光產業發展，達成政策多贏效果。</w:t>
            </w:r>
          </w:p>
        </w:tc>
        <w:tc>
          <w:tcPr>
            <w:tcW w:w="943" w:type="dxa"/>
          </w:tcPr>
          <w:p w:rsidR="004F38EF" w:rsidRPr="00E00D6D" w:rsidRDefault="004F38EF" w:rsidP="004A2055">
            <w:pPr>
              <w:spacing w:line="0" w:lineRule="atLeast"/>
              <w:jc w:val="both"/>
              <w:rPr>
                <w:rFonts w:ascii="標楷體" w:eastAsia="標楷體" w:hAnsi="標楷體" w:cs="Times New Roman"/>
                <w:sz w:val="26"/>
                <w:szCs w:val="26"/>
              </w:rPr>
            </w:pPr>
          </w:p>
        </w:tc>
      </w:tr>
      <w:tr w:rsidR="004F38EF" w:rsidRPr="00E00D6D" w:rsidTr="00866BE2">
        <w:trPr>
          <w:jc w:val="center"/>
        </w:trPr>
        <w:tc>
          <w:tcPr>
            <w:tcW w:w="603" w:type="dxa"/>
          </w:tcPr>
          <w:p w:rsidR="004F38EF" w:rsidRPr="00E00D6D" w:rsidRDefault="004F38EF" w:rsidP="004A2055">
            <w:pPr>
              <w:numPr>
                <w:ilvl w:val="0"/>
                <w:numId w:val="2"/>
              </w:numPr>
              <w:spacing w:line="0" w:lineRule="atLeast"/>
              <w:jc w:val="center"/>
              <w:rPr>
                <w:rFonts w:ascii="標楷體" w:eastAsia="標楷體" w:hAnsi="標楷體" w:cs="Times New Roman"/>
                <w:kern w:val="0"/>
                <w:sz w:val="26"/>
                <w:szCs w:val="26"/>
              </w:rPr>
            </w:pPr>
          </w:p>
        </w:tc>
        <w:tc>
          <w:tcPr>
            <w:tcW w:w="636" w:type="dxa"/>
          </w:tcPr>
          <w:p w:rsidR="004F38EF" w:rsidRPr="00E00D6D" w:rsidRDefault="004F38EF" w:rsidP="004A2055">
            <w:pPr>
              <w:spacing w:line="0" w:lineRule="atLeast"/>
              <w:jc w:val="both"/>
              <w:rPr>
                <w:rFonts w:ascii="標楷體" w:eastAsia="標楷體" w:hAnsi="標楷體" w:cs="Times New Roman"/>
                <w:kern w:val="0"/>
                <w:sz w:val="26"/>
                <w:szCs w:val="26"/>
              </w:rPr>
            </w:pPr>
            <w:r w:rsidRPr="00E00D6D">
              <w:rPr>
                <w:rFonts w:ascii="標楷體" w:eastAsia="標楷體" w:hAnsi="標楷體" w:cs="Times New Roman" w:hint="eastAsia"/>
                <w:kern w:val="0"/>
                <w:sz w:val="26"/>
                <w:szCs w:val="26"/>
              </w:rPr>
              <w:t>移民署</w:t>
            </w:r>
          </w:p>
          <w:p w:rsidR="004F38EF" w:rsidRPr="00E00D6D" w:rsidRDefault="004F38EF" w:rsidP="004A2055">
            <w:pPr>
              <w:spacing w:line="0" w:lineRule="atLeast"/>
              <w:jc w:val="both"/>
              <w:rPr>
                <w:rFonts w:ascii="標楷體" w:eastAsia="標楷體" w:hAnsi="標楷體" w:cs="Times New Roman"/>
                <w:kern w:val="0"/>
                <w:sz w:val="26"/>
                <w:szCs w:val="26"/>
              </w:rPr>
            </w:pPr>
          </w:p>
        </w:tc>
        <w:tc>
          <w:tcPr>
            <w:tcW w:w="1638" w:type="dxa"/>
          </w:tcPr>
          <w:p w:rsidR="004F38EF" w:rsidRPr="00E00D6D" w:rsidRDefault="004F38EF" w:rsidP="004A2055">
            <w:pPr>
              <w:spacing w:line="0" w:lineRule="atLeast"/>
              <w:jc w:val="both"/>
              <w:rPr>
                <w:rFonts w:ascii="標楷體" w:eastAsia="標楷體" w:hAnsi="標楷體" w:cs="Times New Roman"/>
                <w:sz w:val="26"/>
                <w:szCs w:val="26"/>
              </w:rPr>
            </w:pPr>
            <w:proofErr w:type="gramStart"/>
            <w:r w:rsidRPr="00E00D6D">
              <w:rPr>
                <w:rFonts w:ascii="標楷體" w:eastAsia="標楷體" w:hAnsi="標楷體" w:cs="Times New Roman" w:hint="eastAsia"/>
                <w:sz w:val="26"/>
                <w:szCs w:val="26"/>
              </w:rPr>
              <w:t>雲端線上申辦</w:t>
            </w:r>
            <w:proofErr w:type="gramEnd"/>
            <w:r w:rsidRPr="00E00D6D">
              <w:rPr>
                <w:rFonts w:ascii="標楷體" w:eastAsia="標楷體" w:hAnsi="標楷體" w:cs="Times New Roman" w:hint="eastAsia"/>
                <w:sz w:val="26"/>
                <w:szCs w:val="26"/>
              </w:rPr>
              <w:t>系統正式上線</w:t>
            </w:r>
          </w:p>
        </w:tc>
        <w:tc>
          <w:tcPr>
            <w:tcW w:w="3681" w:type="dxa"/>
          </w:tcPr>
          <w:p w:rsidR="004F38EF" w:rsidRPr="00E00D6D" w:rsidRDefault="0070024F" w:rsidP="004A2055">
            <w:pPr>
              <w:spacing w:line="0" w:lineRule="atLeast"/>
              <w:ind w:leftChars="6" w:left="300" w:hangingChars="110" w:hanging="286"/>
              <w:jc w:val="both"/>
              <w:rPr>
                <w:rFonts w:ascii="標楷體" w:eastAsia="標楷體" w:hAnsi="標楷體"/>
                <w:sz w:val="26"/>
                <w:szCs w:val="26"/>
              </w:rPr>
            </w:pPr>
            <w:r w:rsidRPr="00E00D6D">
              <w:rPr>
                <w:rFonts w:ascii="標楷體" w:eastAsia="標楷體" w:hAnsi="標楷體" w:hint="eastAsia"/>
                <w:sz w:val="26"/>
                <w:szCs w:val="26"/>
              </w:rPr>
              <w:t>1.</w:t>
            </w:r>
            <w:r w:rsidR="006A41F1" w:rsidRPr="00E00D6D">
              <w:rPr>
                <w:rFonts w:ascii="標楷體" w:eastAsia="標楷體" w:hAnsi="標楷體" w:hint="eastAsia"/>
                <w:sz w:val="26"/>
                <w:szCs w:val="26"/>
              </w:rPr>
              <w:t>內政部</w:t>
            </w:r>
            <w:r w:rsidRPr="00E00D6D">
              <w:rPr>
                <w:rFonts w:ascii="標楷體" w:eastAsia="標楷體" w:hAnsi="標楷體" w:hint="eastAsia"/>
                <w:sz w:val="26"/>
                <w:szCs w:val="26"/>
                <w:lang w:val="zh-TW"/>
              </w:rPr>
              <w:t>移民</w:t>
            </w:r>
            <w:r w:rsidRPr="00E00D6D">
              <w:rPr>
                <w:rFonts w:ascii="標楷體" w:eastAsia="標楷體" w:hAnsi="標楷體" w:hint="eastAsia"/>
                <w:sz w:val="26"/>
                <w:szCs w:val="26"/>
              </w:rPr>
              <w:t>署</w:t>
            </w:r>
            <w:r w:rsidR="004F38EF" w:rsidRPr="00E00D6D">
              <w:rPr>
                <w:rFonts w:ascii="標楷體" w:eastAsia="標楷體" w:hAnsi="標楷體" w:hint="eastAsia"/>
                <w:sz w:val="26"/>
                <w:szCs w:val="26"/>
              </w:rPr>
              <w:t>於104年12月起</w:t>
            </w:r>
            <w:r w:rsidRPr="00E00D6D">
              <w:rPr>
                <w:rFonts w:ascii="標楷體" w:eastAsia="標楷體" w:hAnsi="標楷體" w:hint="eastAsia"/>
                <w:sz w:val="26"/>
                <w:szCs w:val="26"/>
              </w:rPr>
              <w:t>陸續</w:t>
            </w:r>
            <w:r w:rsidR="004F38EF" w:rsidRPr="00E00D6D">
              <w:rPr>
                <w:rFonts w:ascii="標楷體" w:eastAsia="標楷體" w:hAnsi="標楷體" w:hint="eastAsia"/>
                <w:sz w:val="26"/>
                <w:szCs w:val="26"/>
              </w:rPr>
              <w:t>委外建置下列4項</w:t>
            </w:r>
            <w:proofErr w:type="gramStart"/>
            <w:r w:rsidR="004F38EF" w:rsidRPr="00E00D6D">
              <w:rPr>
                <w:rFonts w:ascii="標楷體" w:eastAsia="標楷體" w:hAnsi="標楷體" w:hint="eastAsia"/>
                <w:sz w:val="26"/>
                <w:szCs w:val="26"/>
              </w:rPr>
              <w:t>雲端線上申辦</w:t>
            </w:r>
            <w:proofErr w:type="gramEnd"/>
            <w:r w:rsidR="004F38EF" w:rsidRPr="00E00D6D">
              <w:rPr>
                <w:rFonts w:ascii="標楷體" w:eastAsia="標楷體" w:hAnsi="標楷體" w:hint="eastAsia"/>
                <w:sz w:val="26"/>
                <w:szCs w:val="26"/>
              </w:rPr>
              <w:t>系統：</w:t>
            </w:r>
          </w:p>
          <w:p w:rsidR="004F38EF" w:rsidRPr="00E00D6D" w:rsidRDefault="0070024F" w:rsidP="004A2055">
            <w:pPr>
              <w:tabs>
                <w:tab w:val="left" w:pos="349"/>
              </w:tabs>
              <w:spacing w:line="0" w:lineRule="atLeast"/>
              <w:ind w:leftChars="-6" w:left="392" w:hangingChars="156" w:hanging="406"/>
              <w:jc w:val="both"/>
              <w:rPr>
                <w:rFonts w:ascii="標楷體" w:eastAsia="標楷體" w:hAnsi="標楷體"/>
                <w:sz w:val="26"/>
                <w:szCs w:val="26"/>
              </w:rPr>
            </w:pPr>
            <w:r w:rsidRPr="00E00D6D">
              <w:rPr>
                <w:rFonts w:ascii="標楷體" w:eastAsia="標楷體" w:hAnsi="標楷體" w:hint="eastAsia"/>
                <w:sz w:val="26"/>
                <w:szCs w:val="26"/>
              </w:rPr>
              <w:t>(1)</w:t>
            </w:r>
            <w:proofErr w:type="gramStart"/>
            <w:r w:rsidR="004F38EF" w:rsidRPr="00E00D6D">
              <w:rPr>
                <w:rFonts w:ascii="標楷體" w:eastAsia="標楷體" w:hAnsi="標楷體" w:hint="eastAsia"/>
                <w:sz w:val="26"/>
                <w:szCs w:val="26"/>
              </w:rPr>
              <w:t>外勞線上申辦</w:t>
            </w:r>
            <w:proofErr w:type="gramEnd"/>
            <w:r w:rsidR="004F38EF" w:rsidRPr="00E00D6D">
              <w:rPr>
                <w:rFonts w:ascii="標楷體" w:eastAsia="標楷體" w:hAnsi="標楷體" w:hint="eastAsia"/>
                <w:sz w:val="26"/>
                <w:szCs w:val="26"/>
              </w:rPr>
              <w:t>系統：</w:t>
            </w:r>
            <w:proofErr w:type="gramStart"/>
            <w:r w:rsidR="004F38EF" w:rsidRPr="00E00D6D">
              <w:rPr>
                <w:rFonts w:ascii="標楷體" w:eastAsia="標楷體" w:hAnsi="標楷體" w:hint="eastAsia"/>
                <w:sz w:val="26"/>
                <w:szCs w:val="26"/>
              </w:rPr>
              <w:t>可線上申請</w:t>
            </w:r>
            <w:proofErr w:type="gramEnd"/>
            <w:r w:rsidR="004F38EF" w:rsidRPr="00E00D6D">
              <w:rPr>
                <w:rFonts w:ascii="標楷體" w:eastAsia="標楷體" w:hAnsi="標楷體" w:hint="eastAsia"/>
                <w:sz w:val="26"/>
                <w:szCs w:val="26"/>
              </w:rPr>
              <w:t>外勞6個月電子居留證及IC卡式居留證。</w:t>
            </w:r>
          </w:p>
          <w:p w:rsidR="004F38EF" w:rsidRPr="00E00D6D" w:rsidRDefault="0070024F" w:rsidP="004A2055">
            <w:pPr>
              <w:tabs>
                <w:tab w:val="left" w:pos="349"/>
              </w:tabs>
              <w:spacing w:line="0" w:lineRule="atLeast"/>
              <w:ind w:leftChars="-6" w:left="392" w:hangingChars="156" w:hanging="406"/>
              <w:jc w:val="both"/>
              <w:rPr>
                <w:rFonts w:ascii="標楷體" w:eastAsia="標楷體" w:hAnsi="標楷體"/>
                <w:sz w:val="26"/>
                <w:szCs w:val="26"/>
              </w:rPr>
            </w:pPr>
            <w:r w:rsidRPr="00E00D6D">
              <w:rPr>
                <w:rFonts w:ascii="標楷體" w:eastAsia="標楷體" w:hAnsi="標楷體" w:hint="eastAsia"/>
                <w:sz w:val="26"/>
                <w:szCs w:val="26"/>
              </w:rPr>
              <w:lastRenderedPageBreak/>
              <w:t>(2)</w:t>
            </w:r>
            <w:r w:rsidR="004F38EF" w:rsidRPr="00E00D6D">
              <w:rPr>
                <w:rFonts w:ascii="標楷體" w:eastAsia="標楷體" w:hAnsi="標楷體" w:hint="eastAsia"/>
                <w:sz w:val="26"/>
                <w:szCs w:val="26"/>
              </w:rPr>
              <w:t>境外</w:t>
            </w:r>
            <w:proofErr w:type="gramStart"/>
            <w:r w:rsidR="004F38EF" w:rsidRPr="00E00D6D">
              <w:rPr>
                <w:rFonts w:ascii="標楷體" w:eastAsia="標楷體" w:hAnsi="標楷體" w:hint="eastAsia"/>
                <w:sz w:val="26"/>
                <w:szCs w:val="26"/>
              </w:rPr>
              <w:t>人士線上申辦</w:t>
            </w:r>
            <w:proofErr w:type="gramEnd"/>
            <w:r w:rsidR="004F38EF" w:rsidRPr="00E00D6D">
              <w:rPr>
                <w:rFonts w:ascii="標楷體" w:eastAsia="標楷體" w:hAnsi="標楷體" w:hint="eastAsia"/>
                <w:sz w:val="26"/>
                <w:szCs w:val="26"/>
              </w:rPr>
              <w:t>系統：</w:t>
            </w:r>
            <w:proofErr w:type="gramStart"/>
            <w:r w:rsidR="004F38EF" w:rsidRPr="00E00D6D">
              <w:rPr>
                <w:rFonts w:ascii="標楷體" w:eastAsia="標楷體" w:hAnsi="標楷體" w:hint="eastAsia"/>
                <w:sz w:val="26"/>
                <w:szCs w:val="26"/>
              </w:rPr>
              <w:t>可線上申請</w:t>
            </w:r>
            <w:proofErr w:type="gramEnd"/>
            <w:r w:rsidR="004F38EF" w:rsidRPr="00E00D6D">
              <w:rPr>
                <w:rFonts w:ascii="標楷體" w:eastAsia="標楷體" w:hAnsi="標楷體" w:hint="eastAsia"/>
                <w:sz w:val="26"/>
                <w:szCs w:val="26"/>
              </w:rPr>
              <w:t>第三類觀光單</w:t>
            </w:r>
            <w:proofErr w:type="gramStart"/>
            <w:r w:rsidR="004F38EF" w:rsidRPr="00E00D6D">
              <w:rPr>
                <w:rFonts w:ascii="標楷體" w:eastAsia="標楷體" w:hAnsi="標楷體" w:hint="eastAsia"/>
                <w:sz w:val="26"/>
                <w:szCs w:val="26"/>
              </w:rPr>
              <w:t>次證/多次證</w:t>
            </w:r>
            <w:proofErr w:type="gramEnd"/>
            <w:r w:rsidR="004F38EF" w:rsidRPr="00E00D6D">
              <w:rPr>
                <w:rFonts w:ascii="標楷體" w:eastAsia="標楷體" w:hAnsi="標楷體" w:hint="eastAsia"/>
                <w:sz w:val="26"/>
                <w:szCs w:val="26"/>
              </w:rPr>
              <w:t>、港澳居民短期入</w:t>
            </w:r>
            <w:proofErr w:type="gramStart"/>
            <w:r w:rsidR="004F38EF" w:rsidRPr="00E00D6D">
              <w:rPr>
                <w:rFonts w:ascii="標楷體" w:eastAsia="標楷體" w:hAnsi="標楷體" w:hint="eastAsia"/>
                <w:sz w:val="26"/>
                <w:szCs w:val="26"/>
              </w:rPr>
              <w:t>臺</w:t>
            </w:r>
            <w:proofErr w:type="gramEnd"/>
            <w:r w:rsidR="004F38EF" w:rsidRPr="00E00D6D">
              <w:rPr>
                <w:rFonts w:ascii="標楷體" w:eastAsia="標楷體" w:hAnsi="標楷體" w:hint="eastAsia"/>
                <w:sz w:val="26"/>
                <w:szCs w:val="26"/>
              </w:rPr>
              <w:t>停留單</w:t>
            </w:r>
            <w:proofErr w:type="gramStart"/>
            <w:r w:rsidR="004F38EF" w:rsidRPr="00E00D6D">
              <w:rPr>
                <w:rFonts w:ascii="標楷體" w:eastAsia="標楷體" w:hAnsi="標楷體" w:hint="eastAsia"/>
                <w:sz w:val="26"/>
                <w:szCs w:val="26"/>
              </w:rPr>
              <w:t>次證/多次證</w:t>
            </w:r>
            <w:proofErr w:type="gramEnd"/>
            <w:r w:rsidR="004F38EF" w:rsidRPr="00E00D6D">
              <w:rPr>
                <w:rFonts w:ascii="標楷體" w:eastAsia="標楷體" w:hAnsi="標楷體" w:hint="eastAsia"/>
                <w:sz w:val="26"/>
                <w:szCs w:val="26"/>
              </w:rPr>
              <w:t>/慶典證。</w:t>
            </w:r>
          </w:p>
          <w:p w:rsidR="004F38EF" w:rsidRPr="00E00D6D" w:rsidRDefault="0070024F" w:rsidP="004A2055">
            <w:pPr>
              <w:tabs>
                <w:tab w:val="left" w:pos="349"/>
              </w:tabs>
              <w:spacing w:line="0" w:lineRule="atLeast"/>
              <w:ind w:leftChars="-6" w:left="392" w:hangingChars="156" w:hanging="406"/>
              <w:jc w:val="both"/>
              <w:rPr>
                <w:rFonts w:ascii="標楷體" w:eastAsia="標楷體" w:hAnsi="標楷體"/>
                <w:sz w:val="26"/>
                <w:szCs w:val="26"/>
              </w:rPr>
            </w:pPr>
            <w:r w:rsidRPr="00E00D6D">
              <w:rPr>
                <w:rFonts w:ascii="標楷體" w:eastAsia="標楷體" w:hAnsi="標楷體" w:hint="eastAsia"/>
                <w:sz w:val="26"/>
                <w:szCs w:val="26"/>
              </w:rPr>
              <w:t>(3)</w:t>
            </w:r>
            <w:r w:rsidR="004F38EF" w:rsidRPr="00E00D6D">
              <w:rPr>
                <w:rFonts w:ascii="標楷體" w:eastAsia="標楷體" w:hAnsi="標楷體" w:hint="eastAsia"/>
                <w:sz w:val="26"/>
                <w:szCs w:val="26"/>
              </w:rPr>
              <w:t>外國與外僑</w:t>
            </w:r>
            <w:proofErr w:type="gramStart"/>
            <w:r w:rsidR="004F38EF" w:rsidRPr="00E00D6D">
              <w:rPr>
                <w:rFonts w:ascii="標楷體" w:eastAsia="標楷體" w:hAnsi="標楷體" w:hint="eastAsia"/>
                <w:sz w:val="26"/>
                <w:szCs w:val="26"/>
              </w:rPr>
              <w:t>學生線上申辦</w:t>
            </w:r>
            <w:proofErr w:type="gramEnd"/>
            <w:r w:rsidR="004F38EF" w:rsidRPr="00E00D6D">
              <w:rPr>
                <w:rFonts w:ascii="標楷體" w:eastAsia="標楷體" w:hAnsi="標楷體" w:hint="eastAsia"/>
                <w:sz w:val="26"/>
                <w:szCs w:val="26"/>
              </w:rPr>
              <w:t>系統：</w:t>
            </w:r>
            <w:proofErr w:type="gramStart"/>
            <w:r w:rsidR="004F38EF" w:rsidRPr="00E00D6D">
              <w:rPr>
                <w:rFonts w:ascii="標楷體" w:eastAsia="標楷體" w:hAnsi="標楷體" w:hint="eastAsia"/>
                <w:sz w:val="26"/>
                <w:szCs w:val="26"/>
              </w:rPr>
              <w:t>可線上申請</w:t>
            </w:r>
            <w:proofErr w:type="gramEnd"/>
            <w:r w:rsidR="004F38EF" w:rsidRPr="00E00D6D">
              <w:rPr>
                <w:rFonts w:ascii="標楷體" w:eastAsia="標楷體" w:hAnsi="標楷體" w:hint="eastAsia"/>
                <w:sz w:val="26"/>
                <w:szCs w:val="26"/>
              </w:rPr>
              <w:t>外國與外僑學生6個月電子居留證及IC卡式居留證。</w:t>
            </w:r>
          </w:p>
          <w:p w:rsidR="004F38EF" w:rsidRPr="00E00D6D" w:rsidRDefault="00FE40A5" w:rsidP="004A2055">
            <w:pPr>
              <w:tabs>
                <w:tab w:val="left" w:pos="349"/>
              </w:tabs>
              <w:spacing w:line="0" w:lineRule="atLeast"/>
              <w:ind w:leftChars="-6" w:left="392" w:hangingChars="156" w:hanging="406"/>
              <w:jc w:val="both"/>
              <w:rPr>
                <w:rFonts w:ascii="標楷體" w:eastAsia="標楷體" w:hAnsi="標楷體"/>
                <w:sz w:val="26"/>
                <w:szCs w:val="26"/>
              </w:rPr>
            </w:pPr>
            <w:r w:rsidRPr="00E00D6D">
              <w:rPr>
                <w:rFonts w:ascii="標楷體" w:eastAsia="標楷體" w:hAnsi="標楷體" w:hint="eastAsia"/>
                <w:sz w:val="26"/>
                <w:szCs w:val="26"/>
              </w:rPr>
              <w:t>(4)</w:t>
            </w:r>
            <w:r w:rsidR="004F38EF" w:rsidRPr="00E00D6D">
              <w:rPr>
                <w:rFonts w:ascii="標楷體" w:eastAsia="標楷體" w:hAnsi="標楷體" w:hint="eastAsia"/>
                <w:sz w:val="26"/>
                <w:szCs w:val="26"/>
              </w:rPr>
              <w:t>大陸與港澳</w:t>
            </w:r>
            <w:proofErr w:type="gramStart"/>
            <w:r w:rsidR="004F38EF" w:rsidRPr="00E00D6D">
              <w:rPr>
                <w:rFonts w:ascii="標楷體" w:eastAsia="標楷體" w:hAnsi="標楷體" w:hint="eastAsia"/>
                <w:sz w:val="26"/>
                <w:szCs w:val="26"/>
              </w:rPr>
              <w:t>學生線上申辦</w:t>
            </w:r>
            <w:proofErr w:type="gramEnd"/>
            <w:r w:rsidR="004F38EF" w:rsidRPr="00E00D6D">
              <w:rPr>
                <w:rFonts w:ascii="標楷體" w:eastAsia="標楷體" w:hAnsi="標楷體" w:hint="eastAsia"/>
                <w:sz w:val="26"/>
                <w:szCs w:val="26"/>
              </w:rPr>
              <w:t>系統：</w:t>
            </w:r>
            <w:proofErr w:type="gramStart"/>
            <w:r w:rsidR="004F38EF" w:rsidRPr="00E00D6D">
              <w:rPr>
                <w:rFonts w:ascii="標楷體" w:eastAsia="標楷體" w:hAnsi="標楷體" w:hint="eastAsia"/>
                <w:sz w:val="26"/>
                <w:szCs w:val="26"/>
              </w:rPr>
              <w:t>可線上申請</w:t>
            </w:r>
            <w:proofErr w:type="gramEnd"/>
            <w:r w:rsidR="004F38EF" w:rsidRPr="00E00D6D">
              <w:rPr>
                <w:rFonts w:ascii="標楷體" w:eastAsia="標楷體" w:hAnsi="標楷體" w:hint="eastAsia"/>
                <w:sz w:val="26"/>
                <w:szCs w:val="26"/>
              </w:rPr>
              <w:t>陸生就學</w:t>
            </w:r>
            <w:proofErr w:type="gramStart"/>
            <w:r w:rsidR="004F38EF" w:rsidRPr="00E00D6D">
              <w:rPr>
                <w:rFonts w:ascii="標楷體" w:eastAsia="標楷體" w:hAnsi="標楷體" w:hint="eastAsia"/>
                <w:sz w:val="26"/>
                <w:szCs w:val="26"/>
              </w:rPr>
              <w:t>多次證</w:t>
            </w:r>
            <w:proofErr w:type="gramEnd"/>
            <w:r w:rsidR="004F38EF" w:rsidRPr="00E00D6D">
              <w:rPr>
                <w:rFonts w:ascii="標楷體" w:eastAsia="標楷體" w:hAnsi="標楷體" w:hint="eastAsia"/>
                <w:sz w:val="26"/>
                <w:szCs w:val="26"/>
              </w:rPr>
              <w:t>及港澳生IC卡式居留證。</w:t>
            </w:r>
          </w:p>
          <w:p w:rsidR="0070024F" w:rsidRPr="00E00D6D" w:rsidRDefault="00FE40A5" w:rsidP="004A2055">
            <w:pPr>
              <w:spacing w:line="0" w:lineRule="atLeast"/>
              <w:ind w:leftChars="6" w:left="300" w:hangingChars="110" w:hanging="286"/>
              <w:jc w:val="both"/>
              <w:rPr>
                <w:rFonts w:ascii="標楷體" w:eastAsia="標楷體" w:hAnsi="標楷體"/>
                <w:sz w:val="26"/>
                <w:szCs w:val="26"/>
              </w:rPr>
            </w:pPr>
            <w:r w:rsidRPr="00E00D6D">
              <w:rPr>
                <w:rFonts w:ascii="標楷體" w:eastAsia="標楷體" w:hAnsi="標楷體" w:hint="eastAsia"/>
                <w:sz w:val="26"/>
                <w:szCs w:val="26"/>
              </w:rPr>
              <w:t>2.</w:t>
            </w:r>
            <w:r w:rsidR="004F38EF" w:rsidRPr="00E00D6D">
              <w:rPr>
                <w:rFonts w:ascii="標楷體" w:eastAsia="標楷體" w:hAnsi="標楷體" w:hint="eastAsia"/>
                <w:sz w:val="26"/>
                <w:szCs w:val="26"/>
              </w:rPr>
              <w:t>系統開發建置作業已於105年9月完成，</w:t>
            </w:r>
            <w:r w:rsidR="0070024F" w:rsidRPr="00E00D6D">
              <w:rPr>
                <w:rFonts w:ascii="標楷體" w:eastAsia="標楷體" w:hAnsi="標楷體" w:hint="eastAsia"/>
                <w:sz w:val="26"/>
                <w:szCs w:val="26"/>
              </w:rPr>
              <w:t>移民署</w:t>
            </w:r>
            <w:r w:rsidRPr="00E00D6D">
              <w:rPr>
                <w:rFonts w:ascii="標楷體" w:eastAsia="標楷體" w:hAnsi="標楷體" w:hint="eastAsia"/>
                <w:sz w:val="26"/>
                <w:szCs w:val="26"/>
              </w:rPr>
              <w:t>並</w:t>
            </w:r>
            <w:r w:rsidR="004F38EF" w:rsidRPr="00E00D6D">
              <w:rPr>
                <w:rFonts w:ascii="標楷體" w:eastAsia="標楷體" w:hAnsi="標楷體" w:hint="eastAsia"/>
                <w:sz w:val="26"/>
                <w:szCs w:val="26"/>
              </w:rPr>
              <w:t>自105年12月起陸續</w:t>
            </w:r>
            <w:r w:rsidRPr="00E00D6D">
              <w:rPr>
                <w:rFonts w:ascii="標楷體" w:eastAsia="標楷體" w:hAnsi="標楷體" w:hint="eastAsia"/>
                <w:sz w:val="26"/>
                <w:szCs w:val="26"/>
              </w:rPr>
              <w:t>對外</w:t>
            </w:r>
            <w:r w:rsidR="004F38EF" w:rsidRPr="00E00D6D">
              <w:rPr>
                <w:rFonts w:ascii="標楷體" w:eastAsia="標楷體" w:hAnsi="標楷體" w:hint="eastAsia"/>
                <w:sz w:val="26"/>
                <w:szCs w:val="26"/>
              </w:rPr>
              <w:t>進行宣導說明會及系統試營運等作業</w:t>
            </w:r>
            <w:r w:rsidR="0070024F" w:rsidRPr="00E00D6D">
              <w:rPr>
                <w:rFonts w:ascii="標楷體" w:eastAsia="標楷體" w:hAnsi="標楷體" w:hint="eastAsia"/>
                <w:sz w:val="26"/>
                <w:szCs w:val="26"/>
              </w:rPr>
              <w:t>。</w:t>
            </w:r>
          </w:p>
          <w:p w:rsidR="004F38EF" w:rsidRPr="00E00D6D" w:rsidRDefault="00FE40A5" w:rsidP="004A2055">
            <w:pPr>
              <w:spacing w:line="0" w:lineRule="atLeast"/>
              <w:ind w:leftChars="6" w:left="300" w:hangingChars="110" w:hanging="286"/>
              <w:jc w:val="both"/>
              <w:rPr>
                <w:rFonts w:ascii="標楷體" w:eastAsia="標楷體" w:hAnsi="標楷體"/>
                <w:sz w:val="26"/>
                <w:szCs w:val="26"/>
              </w:rPr>
            </w:pPr>
            <w:r w:rsidRPr="00E00D6D">
              <w:rPr>
                <w:rFonts w:ascii="標楷體" w:eastAsia="標楷體" w:hAnsi="標楷體" w:hint="eastAsia"/>
                <w:sz w:val="26"/>
                <w:szCs w:val="26"/>
              </w:rPr>
              <w:t>3</w:t>
            </w:r>
            <w:r w:rsidR="0070024F" w:rsidRPr="00E00D6D">
              <w:rPr>
                <w:rFonts w:ascii="標楷體" w:eastAsia="標楷體" w:hAnsi="標楷體" w:hint="eastAsia"/>
                <w:sz w:val="26"/>
                <w:szCs w:val="26"/>
              </w:rPr>
              <w:t>.</w:t>
            </w:r>
            <w:r w:rsidRPr="00E00D6D">
              <w:rPr>
                <w:rFonts w:ascii="標楷體" w:eastAsia="標楷體" w:hAnsi="標楷體" w:hint="eastAsia"/>
                <w:sz w:val="26"/>
                <w:szCs w:val="26"/>
              </w:rPr>
              <w:t>各項系統</w:t>
            </w:r>
            <w:r w:rsidR="0070024F" w:rsidRPr="00E00D6D">
              <w:rPr>
                <w:rFonts w:ascii="標楷體" w:eastAsia="標楷體" w:hAnsi="標楷體" w:hint="eastAsia"/>
                <w:sz w:val="26"/>
                <w:szCs w:val="26"/>
              </w:rPr>
              <w:t>自106年2月起</w:t>
            </w:r>
            <w:r w:rsidR="004F38EF" w:rsidRPr="00E00D6D">
              <w:rPr>
                <w:rFonts w:ascii="標楷體" w:eastAsia="標楷體" w:hAnsi="標楷體" w:hint="eastAsia"/>
                <w:sz w:val="26"/>
                <w:szCs w:val="26"/>
              </w:rPr>
              <w:t>陸續上線。</w:t>
            </w:r>
          </w:p>
        </w:tc>
        <w:tc>
          <w:tcPr>
            <w:tcW w:w="3058" w:type="dxa"/>
          </w:tcPr>
          <w:p w:rsidR="004F38EF" w:rsidRPr="00E00D6D" w:rsidRDefault="004F38EF" w:rsidP="004A2055">
            <w:pPr>
              <w:tabs>
                <w:tab w:val="left" w:pos="0"/>
              </w:tabs>
              <w:spacing w:line="0" w:lineRule="atLeast"/>
              <w:ind w:leftChars="30" w:left="72"/>
              <w:jc w:val="both"/>
              <w:rPr>
                <w:rFonts w:ascii="標楷體" w:eastAsia="標楷體" w:hAnsi="標楷體"/>
                <w:sz w:val="26"/>
                <w:szCs w:val="26"/>
              </w:rPr>
            </w:pPr>
            <w:r w:rsidRPr="00E00D6D">
              <w:rPr>
                <w:rFonts w:ascii="標楷體" w:eastAsia="標楷體" w:hAnsi="標楷體" w:hint="eastAsia"/>
                <w:sz w:val="26"/>
                <w:szCs w:val="26"/>
              </w:rPr>
              <w:lastRenderedPageBreak/>
              <w:t>藉由</w:t>
            </w:r>
            <w:proofErr w:type="gramStart"/>
            <w:r w:rsidRPr="00E00D6D">
              <w:rPr>
                <w:rFonts w:ascii="標楷體" w:eastAsia="標楷體" w:hAnsi="標楷體" w:hint="eastAsia"/>
                <w:sz w:val="26"/>
                <w:szCs w:val="26"/>
              </w:rPr>
              <w:t>雲端線上申辦</w:t>
            </w:r>
            <w:proofErr w:type="gramEnd"/>
            <w:r w:rsidRPr="00E00D6D">
              <w:rPr>
                <w:rFonts w:ascii="標楷體" w:eastAsia="標楷體" w:hAnsi="標楷體" w:hint="eastAsia"/>
                <w:sz w:val="26"/>
                <w:szCs w:val="26"/>
              </w:rPr>
              <w:t>作業機制導入，完成外勞、境外人士(含第三類觀光及港澳居民短期入</w:t>
            </w:r>
            <w:proofErr w:type="gramStart"/>
            <w:r w:rsidRPr="00E00D6D">
              <w:rPr>
                <w:rFonts w:ascii="標楷體" w:eastAsia="標楷體" w:hAnsi="標楷體" w:hint="eastAsia"/>
                <w:sz w:val="26"/>
                <w:szCs w:val="26"/>
              </w:rPr>
              <w:t>臺</w:t>
            </w:r>
            <w:proofErr w:type="gramEnd"/>
            <w:r w:rsidRPr="00E00D6D">
              <w:rPr>
                <w:rFonts w:ascii="標楷體" w:eastAsia="標楷體" w:hAnsi="標楷體" w:hint="eastAsia"/>
                <w:sz w:val="26"/>
                <w:szCs w:val="26"/>
              </w:rPr>
              <w:t>停留)、外國與外僑學生、大陸與港澳學生之申請流程再造，</w:t>
            </w:r>
            <w:r w:rsidRPr="00E00D6D">
              <w:rPr>
                <w:rFonts w:ascii="標楷體" w:eastAsia="標楷體" w:hAnsi="標楷體" w:hint="eastAsia"/>
                <w:sz w:val="26"/>
                <w:szCs w:val="26"/>
              </w:rPr>
              <w:lastRenderedPageBreak/>
              <w:t>簡化現行收件、</w:t>
            </w:r>
            <w:proofErr w:type="gramStart"/>
            <w:r w:rsidRPr="00E00D6D">
              <w:rPr>
                <w:rFonts w:ascii="標楷體" w:eastAsia="標楷體" w:hAnsi="標楷體" w:hint="eastAsia"/>
                <w:sz w:val="26"/>
                <w:szCs w:val="26"/>
              </w:rPr>
              <w:t>登打</w:t>
            </w:r>
            <w:proofErr w:type="gramEnd"/>
            <w:r w:rsidRPr="00E00D6D">
              <w:rPr>
                <w:rFonts w:ascii="標楷體" w:eastAsia="標楷體" w:hAnsi="標楷體" w:hint="eastAsia"/>
                <w:sz w:val="26"/>
                <w:szCs w:val="26"/>
              </w:rPr>
              <w:t>、收費及發證等作業，減去申請人的奔波勞頓，加速</w:t>
            </w:r>
            <w:r w:rsidR="0070024F" w:rsidRPr="00E00D6D">
              <w:rPr>
                <w:rFonts w:ascii="標楷體" w:eastAsia="標楷體" w:hAnsi="標楷體" w:hint="eastAsia"/>
                <w:sz w:val="26"/>
                <w:szCs w:val="26"/>
              </w:rPr>
              <w:t>移民</w:t>
            </w:r>
            <w:r w:rsidRPr="00E00D6D">
              <w:rPr>
                <w:rFonts w:ascii="標楷體" w:eastAsia="標楷體" w:hAnsi="標楷體" w:hint="eastAsia"/>
                <w:sz w:val="26"/>
                <w:szCs w:val="26"/>
              </w:rPr>
              <w:t>署業務單位作業效率及發證時限，大幅減輕各服務站及駐外移民秘書的人力壓力，並提供民眾更快速且優質</w:t>
            </w:r>
            <w:proofErr w:type="gramStart"/>
            <w:r w:rsidRPr="00E00D6D">
              <w:rPr>
                <w:rFonts w:ascii="標楷體" w:eastAsia="標楷體" w:hAnsi="標楷體" w:hint="eastAsia"/>
                <w:sz w:val="26"/>
                <w:szCs w:val="26"/>
              </w:rPr>
              <w:t>的線上申辦</w:t>
            </w:r>
            <w:proofErr w:type="gramEnd"/>
            <w:r w:rsidRPr="00E00D6D">
              <w:rPr>
                <w:rFonts w:ascii="標楷體" w:eastAsia="標楷體" w:hAnsi="標楷體" w:hint="eastAsia"/>
                <w:sz w:val="26"/>
                <w:szCs w:val="26"/>
              </w:rPr>
              <w:t>服務。</w:t>
            </w:r>
          </w:p>
        </w:tc>
        <w:tc>
          <w:tcPr>
            <w:tcW w:w="943" w:type="dxa"/>
          </w:tcPr>
          <w:p w:rsidR="004F38EF" w:rsidRPr="00E00D6D" w:rsidRDefault="004F38EF" w:rsidP="004A2055">
            <w:pPr>
              <w:spacing w:line="0" w:lineRule="atLeast"/>
              <w:jc w:val="both"/>
              <w:rPr>
                <w:rFonts w:ascii="標楷體" w:eastAsia="標楷體" w:hAnsi="標楷體" w:cs="Times New Roman"/>
                <w:sz w:val="26"/>
                <w:szCs w:val="26"/>
              </w:rPr>
            </w:pPr>
          </w:p>
        </w:tc>
      </w:tr>
      <w:bookmarkEnd w:id="0"/>
    </w:tbl>
    <w:p w:rsidR="009524E4" w:rsidRPr="00E00D6D" w:rsidRDefault="009524E4" w:rsidP="009524E4">
      <w:pPr>
        <w:jc w:val="center"/>
        <w:rPr>
          <w:rFonts w:ascii="標楷體" w:eastAsia="標楷體" w:hAnsi="標楷體"/>
          <w:b/>
          <w:sz w:val="32"/>
          <w:szCs w:val="32"/>
        </w:rPr>
      </w:pPr>
    </w:p>
    <w:sectPr w:rsidR="009524E4" w:rsidRPr="00E00D6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28" w:rsidRDefault="00847128" w:rsidP="00750903">
      <w:r>
        <w:separator/>
      </w:r>
    </w:p>
  </w:endnote>
  <w:endnote w:type="continuationSeparator" w:id="0">
    <w:p w:rsidR="00847128" w:rsidRDefault="00847128" w:rsidP="0075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379006"/>
      <w:docPartObj>
        <w:docPartGallery w:val="Page Numbers (Bottom of Page)"/>
        <w:docPartUnique/>
      </w:docPartObj>
    </w:sdtPr>
    <w:sdtEndPr/>
    <w:sdtContent>
      <w:p w:rsidR="002F03C9" w:rsidRDefault="002F03C9">
        <w:pPr>
          <w:pStyle w:val="a5"/>
          <w:jc w:val="center"/>
        </w:pPr>
        <w:r>
          <w:fldChar w:fldCharType="begin"/>
        </w:r>
        <w:r>
          <w:instrText>PAGE   \* MERGEFORMAT</w:instrText>
        </w:r>
        <w:r>
          <w:fldChar w:fldCharType="separate"/>
        </w:r>
        <w:r w:rsidR="00E00D6D" w:rsidRPr="00E00D6D">
          <w:rPr>
            <w:noProof/>
            <w:lang w:val="zh-TW"/>
          </w:rPr>
          <w:t>2</w:t>
        </w:r>
        <w:r>
          <w:fldChar w:fldCharType="end"/>
        </w:r>
      </w:p>
    </w:sdtContent>
  </w:sdt>
  <w:p w:rsidR="002F03C9" w:rsidRDefault="002F03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28" w:rsidRDefault="00847128" w:rsidP="00750903">
      <w:r>
        <w:separator/>
      </w:r>
    </w:p>
  </w:footnote>
  <w:footnote w:type="continuationSeparator" w:id="0">
    <w:p w:rsidR="00847128" w:rsidRDefault="00847128" w:rsidP="00750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9CE"/>
    <w:multiLevelType w:val="hybridMultilevel"/>
    <w:tmpl w:val="A34C3BB4"/>
    <w:lvl w:ilvl="0" w:tplc="E7D09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0C07F9"/>
    <w:multiLevelType w:val="hybridMultilevel"/>
    <w:tmpl w:val="C388D91E"/>
    <w:lvl w:ilvl="0" w:tplc="99280D34">
      <w:start w:val="1"/>
      <w:numFmt w:val="decimal"/>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42826B6"/>
    <w:multiLevelType w:val="hybridMultilevel"/>
    <w:tmpl w:val="613E1C78"/>
    <w:lvl w:ilvl="0" w:tplc="7CF691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632547"/>
    <w:multiLevelType w:val="hybridMultilevel"/>
    <w:tmpl w:val="A1E2E2D6"/>
    <w:lvl w:ilvl="0" w:tplc="DB6EA6E8">
      <w:start w:val="1"/>
      <w:numFmt w:val="decimal"/>
      <w:lvlText w:val="%1."/>
      <w:lvlJc w:val="left"/>
      <w:pPr>
        <w:tabs>
          <w:tab w:val="num" w:pos="360"/>
        </w:tabs>
        <w:ind w:left="360" w:hanging="360"/>
      </w:pPr>
      <w:rPr>
        <w:rFonts w:ascii="Times New Roman" w:hAnsi="Times New Roman" w:cs="Times New Roman"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6779D4"/>
    <w:multiLevelType w:val="hybridMultilevel"/>
    <w:tmpl w:val="FA68F2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3A0592"/>
    <w:multiLevelType w:val="hybridMultilevel"/>
    <w:tmpl w:val="23C6EA3C"/>
    <w:lvl w:ilvl="0" w:tplc="83502A22">
      <w:start w:val="1"/>
      <w:numFmt w:val="decimal"/>
      <w:lvlText w:val="%1."/>
      <w:lvlJc w:val="left"/>
      <w:pPr>
        <w:tabs>
          <w:tab w:val="num" w:pos="360"/>
        </w:tabs>
        <w:ind w:left="360" w:hanging="360"/>
      </w:pPr>
      <w:rPr>
        <w:sz w:val="28"/>
        <w:szCs w:val="28"/>
      </w:rPr>
    </w:lvl>
    <w:lvl w:ilvl="1" w:tplc="F12E097A">
      <w:start w:val="1"/>
      <w:numFmt w:val="decimal"/>
      <w:lvlText w:val="(%2)"/>
      <w:lvlJc w:val="left"/>
      <w:pPr>
        <w:tabs>
          <w:tab w:val="num" w:pos="840"/>
        </w:tabs>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29E91BD8"/>
    <w:multiLevelType w:val="hybridMultilevel"/>
    <w:tmpl w:val="A1E2E2D6"/>
    <w:lvl w:ilvl="0" w:tplc="DB6EA6E8">
      <w:start w:val="1"/>
      <w:numFmt w:val="decimal"/>
      <w:lvlText w:val="%1."/>
      <w:lvlJc w:val="left"/>
      <w:pPr>
        <w:tabs>
          <w:tab w:val="num" w:pos="360"/>
        </w:tabs>
        <w:ind w:left="360" w:hanging="360"/>
      </w:pPr>
      <w:rPr>
        <w:rFonts w:ascii="Times New Roman" w:hAnsi="Times New Roman" w:cs="Times New Roman"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C9E6560"/>
    <w:multiLevelType w:val="hybridMultilevel"/>
    <w:tmpl w:val="BE928B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9D4E87"/>
    <w:multiLevelType w:val="hybridMultilevel"/>
    <w:tmpl w:val="485A0A60"/>
    <w:lvl w:ilvl="0" w:tplc="0409000F">
      <w:start w:val="1"/>
      <w:numFmt w:val="decimal"/>
      <w:lvlText w:val="%1."/>
      <w:lvlJc w:val="left"/>
      <w:pPr>
        <w:tabs>
          <w:tab w:val="num" w:pos="360"/>
        </w:tabs>
        <w:ind w:left="360" w:hanging="360"/>
      </w:pPr>
      <w:rPr>
        <w:rFonts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0B42B73"/>
    <w:multiLevelType w:val="hybridMultilevel"/>
    <w:tmpl w:val="649AD17C"/>
    <w:lvl w:ilvl="0" w:tplc="F86E43EE">
      <w:start w:val="1"/>
      <w:numFmt w:val="decimal"/>
      <w:lvlText w:val="%1."/>
      <w:lvlJc w:val="left"/>
      <w:pPr>
        <w:tabs>
          <w:tab w:val="num" w:pos="360"/>
        </w:tabs>
        <w:ind w:left="360" w:hanging="360"/>
      </w:pPr>
      <w:rPr>
        <w:rFonts w:ascii="Times New Roman" w:hAnsi="Times New Roman" w:cs="Times New Roman"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885CA0"/>
    <w:multiLevelType w:val="hybridMultilevel"/>
    <w:tmpl w:val="7D383D8A"/>
    <w:lvl w:ilvl="0" w:tplc="DDCA080E">
      <w:start w:val="1"/>
      <w:numFmt w:val="decimal"/>
      <w:lvlText w:val="%1."/>
      <w:lvlJc w:val="left"/>
      <w:pPr>
        <w:tabs>
          <w:tab w:val="num" w:pos="360"/>
        </w:tabs>
        <w:ind w:left="360" w:hanging="36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A627FD4"/>
    <w:multiLevelType w:val="hybridMultilevel"/>
    <w:tmpl w:val="4CD85470"/>
    <w:lvl w:ilvl="0" w:tplc="C05E6702">
      <w:start w:val="1"/>
      <w:numFmt w:val="decimal"/>
      <w:lvlText w:val="%1."/>
      <w:lvlJc w:val="left"/>
      <w:pPr>
        <w:tabs>
          <w:tab w:val="num" w:pos="360"/>
        </w:tabs>
        <w:ind w:left="360" w:hanging="360"/>
      </w:pPr>
      <w:rPr>
        <w:rFonts w:ascii="標楷體" w:eastAsia="標楷體" w:hAnsi="標楷體"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7F3FB8"/>
    <w:multiLevelType w:val="hybridMultilevel"/>
    <w:tmpl w:val="81400C74"/>
    <w:lvl w:ilvl="0" w:tplc="F8A0AA88">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CAB3CE7"/>
    <w:multiLevelType w:val="hybridMultilevel"/>
    <w:tmpl w:val="C388D91E"/>
    <w:lvl w:ilvl="0" w:tplc="99280D34">
      <w:start w:val="1"/>
      <w:numFmt w:val="decimal"/>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417268F8"/>
    <w:multiLevelType w:val="hybridMultilevel"/>
    <w:tmpl w:val="C388D91E"/>
    <w:lvl w:ilvl="0" w:tplc="99280D34">
      <w:start w:val="1"/>
      <w:numFmt w:val="decimal"/>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42B26483"/>
    <w:multiLevelType w:val="hybridMultilevel"/>
    <w:tmpl w:val="5FFA9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4C0265"/>
    <w:multiLevelType w:val="hybridMultilevel"/>
    <w:tmpl w:val="EEF49CB0"/>
    <w:lvl w:ilvl="0" w:tplc="75E8A192">
      <w:start w:val="1"/>
      <w:numFmt w:val="decimal"/>
      <w:lvlText w:val="%1."/>
      <w:lvlJc w:val="left"/>
      <w:pPr>
        <w:tabs>
          <w:tab w:val="num" w:pos="360"/>
        </w:tabs>
        <w:ind w:left="360" w:hanging="360"/>
      </w:pPr>
      <w:rPr>
        <w:rFonts w:ascii="Times New Roman"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7D63C1"/>
    <w:multiLevelType w:val="hybridMultilevel"/>
    <w:tmpl w:val="43BA8198"/>
    <w:lvl w:ilvl="0" w:tplc="3C365C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7E3BF5"/>
    <w:multiLevelType w:val="hybridMultilevel"/>
    <w:tmpl w:val="A8264F66"/>
    <w:lvl w:ilvl="0" w:tplc="74EC1914">
      <w:start w:val="1"/>
      <w:numFmt w:val="decimal"/>
      <w:lvlText w:val="%1."/>
      <w:lvlJc w:val="left"/>
      <w:pPr>
        <w:tabs>
          <w:tab w:val="num" w:pos="360"/>
        </w:tabs>
        <w:ind w:left="360" w:hanging="36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47587B"/>
    <w:multiLevelType w:val="hybridMultilevel"/>
    <w:tmpl w:val="A1E2E2D6"/>
    <w:lvl w:ilvl="0" w:tplc="DB6EA6E8">
      <w:start w:val="1"/>
      <w:numFmt w:val="decimal"/>
      <w:lvlText w:val="%1."/>
      <w:lvlJc w:val="left"/>
      <w:pPr>
        <w:tabs>
          <w:tab w:val="num" w:pos="360"/>
        </w:tabs>
        <w:ind w:left="360" w:hanging="360"/>
      </w:pPr>
      <w:rPr>
        <w:rFonts w:ascii="Times New Roman" w:hAnsi="Times New Roman" w:cs="Times New Roman"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C50676E"/>
    <w:multiLevelType w:val="hybridMultilevel"/>
    <w:tmpl w:val="B13E1C42"/>
    <w:lvl w:ilvl="0" w:tplc="2486B4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CDF58F5"/>
    <w:multiLevelType w:val="hybridMultilevel"/>
    <w:tmpl w:val="C9A8E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76670D"/>
    <w:multiLevelType w:val="hybridMultilevel"/>
    <w:tmpl w:val="F51A7B98"/>
    <w:lvl w:ilvl="0" w:tplc="EA32284A">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3">
    <w:nsid w:val="563C11CC"/>
    <w:multiLevelType w:val="hybridMultilevel"/>
    <w:tmpl w:val="19BA3282"/>
    <w:lvl w:ilvl="0" w:tplc="DF6819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BCF4CB8"/>
    <w:multiLevelType w:val="hybridMultilevel"/>
    <w:tmpl w:val="C388D91E"/>
    <w:lvl w:ilvl="0" w:tplc="99280D34">
      <w:start w:val="1"/>
      <w:numFmt w:val="decimal"/>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nsid w:val="6018426C"/>
    <w:multiLevelType w:val="hybridMultilevel"/>
    <w:tmpl w:val="B13E1C42"/>
    <w:lvl w:ilvl="0" w:tplc="2486B4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1AF3A06"/>
    <w:multiLevelType w:val="hybridMultilevel"/>
    <w:tmpl w:val="23C6EA3C"/>
    <w:lvl w:ilvl="0" w:tplc="83502A22">
      <w:start w:val="1"/>
      <w:numFmt w:val="decimal"/>
      <w:lvlText w:val="%1."/>
      <w:lvlJc w:val="left"/>
      <w:pPr>
        <w:tabs>
          <w:tab w:val="num" w:pos="360"/>
        </w:tabs>
        <w:ind w:left="360" w:hanging="360"/>
      </w:pPr>
      <w:rPr>
        <w:sz w:val="28"/>
        <w:szCs w:val="28"/>
      </w:rPr>
    </w:lvl>
    <w:lvl w:ilvl="1" w:tplc="F12E097A">
      <w:start w:val="1"/>
      <w:numFmt w:val="decimal"/>
      <w:lvlText w:val="(%2)"/>
      <w:lvlJc w:val="left"/>
      <w:pPr>
        <w:tabs>
          <w:tab w:val="num" w:pos="840"/>
        </w:tabs>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64A016FA"/>
    <w:multiLevelType w:val="hybridMultilevel"/>
    <w:tmpl w:val="691830A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8">
    <w:nsid w:val="669A5F2C"/>
    <w:multiLevelType w:val="hybridMultilevel"/>
    <w:tmpl w:val="4350AAE4"/>
    <w:lvl w:ilvl="0" w:tplc="A08233D0">
      <w:start w:val="1"/>
      <w:numFmt w:val="decimal"/>
      <w:lvlText w:val="%1."/>
      <w:lvlJc w:val="left"/>
      <w:pPr>
        <w:ind w:left="377" w:hanging="360"/>
      </w:pPr>
      <w:rPr>
        <w:rFonts w:hint="default"/>
        <w:color w:val="auto"/>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9">
    <w:nsid w:val="670B5805"/>
    <w:multiLevelType w:val="hybridMultilevel"/>
    <w:tmpl w:val="EEF49CB0"/>
    <w:lvl w:ilvl="0" w:tplc="75E8A192">
      <w:start w:val="1"/>
      <w:numFmt w:val="decimal"/>
      <w:lvlText w:val="%1."/>
      <w:lvlJc w:val="left"/>
      <w:pPr>
        <w:tabs>
          <w:tab w:val="num" w:pos="360"/>
        </w:tabs>
        <w:ind w:left="360" w:hanging="360"/>
      </w:pPr>
      <w:rPr>
        <w:rFonts w:ascii="Times New Roman" w:hAnsi="Times New Roman" w:cs="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67CE12F2"/>
    <w:multiLevelType w:val="hybridMultilevel"/>
    <w:tmpl w:val="0476826C"/>
    <w:lvl w:ilvl="0" w:tplc="3FB470F6">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nsid w:val="6B365131"/>
    <w:multiLevelType w:val="hybridMultilevel"/>
    <w:tmpl w:val="A1E2E2D6"/>
    <w:lvl w:ilvl="0" w:tplc="DB6EA6E8">
      <w:start w:val="1"/>
      <w:numFmt w:val="decimal"/>
      <w:lvlText w:val="%1."/>
      <w:lvlJc w:val="left"/>
      <w:pPr>
        <w:tabs>
          <w:tab w:val="num" w:pos="360"/>
        </w:tabs>
        <w:ind w:left="360" w:hanging="360"/>
      </w:pPr>
      <w:rPr>
        <w:rFonts w:ascii="Times New Roman" w:hAnsi="Times New Roman" w:cs="Times New Roman"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E034406"/>
    <w:multiLevelType w:val="hybridMultilevel"/>
    <w:tmpl w:val="B13E1C42"/>
    <w:lvl w:ilvl="0" w:tplc="2486B4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84A0595"/>
    <w:multiLevelType w:val="hybridMultilevel"/>
    <w:tmpl w:val="A1E2E2D6"/>
    <w:lvl w:ilvl="0" w:tplc="DB6EA6E8">
      <w:start w:val="1"/>
      <w:numFmt w:val="decimal"/>
      <w:lvlText w:val="%1."/>
      <w:lvlJc w:val="left"/>
      <w:pPr>
        <w:tabs>
          <w:tab w:val="num" w:pos="360"/>
        </w:tabs>
        <w:ind w:left="360" w:hanging="360"/>
      </w:pPr>
      <w:rPr>
        <w:rFonts w:ascii="Times New Roman" w:hAnsi="Times New Roman" w:cs="Times New Roman"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E8D3C34"/>
    <w:multiLevelType w:val="hybridMultilevel"/>
    <w:tmpl w:val="C714D65E"/>
    <w:lvl w:ilvl="0" w:tplc="75E8A192">
      <w:start w:val="1"/>
      <w:numFmt w:val="decimal"/>
      <w:lvlText w:val="%1."/>
      <w:lvlJc w:val="left"/>
      <w:pPr>
        <w:tabs>
          <w:tab w:val="num" w:pos="360"/>
        </w:tabs>
        <w:ind w:left="360" w:hanging="360"/>
      </w:pPr>
      <w:rPr>
        <w:rFonts w:ascii="Times New Roman" w:hAnsi="Times New Roman" w:cs="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8"/>
  </w:num>
  <w:num w:numId="2">
    <w:abstractNumId w:val="7"/>
  </w:num>
  <w:num w:numId="3">
    <w:abstractNumId w:val="25"/>
  </w:num>
  <w:num w:numId="4">
    <w:abstractNumId w:val="23"/>
  </w:num>
  <w:num w:numId="5">
    <w:abstractNumId w:val="16"/>
  </w:num>
  <w:num w:numId="6">
    <w:abstractNumId w:val="32"/>
  </w:num>
  <w:num w:numId="7">
    <w:abstractNumId w:val="20"/>
  </w:num>
  <w:num w:numId="8">
    <w:abstractNumId w:val="19"/>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
  </w:num>
  <w:num w:numId="16">
    <w:abstractNumId w:val="31"/>
  </w:num>
  <w:num w:numId="17">
    <w:abstractNumId w:val="6"/>
  </w:num>
  <w:num w:numId="18">
    <w:abstractNumId w:val="13"/>
  </w:num>
  <w:num w:numId="19">
    <w:abstractNumId w:val="24"/>
  </w:num>
  <w:num w:numId="20">
    <w:abstractNumId w:val="1"/>
  </w:num>
  <w:num w:numId="21">
    <w:abstractNumId w:val="26"/>
  </w:num>
  <w:num w:numId="22">
    <w:abstractNumId w:val="11"/>
  </w:num>
  <w:num w:numId="23">
    <w:abstractNumId w:val="0"/>
  </w:num>
  <w:num w:numId="24">
    <w:abstractNumId w:val="17"/>
  </w:num>
  <w:num w:numId="25">
    <w:abstractNumId w:val="27"/>
  </w:num>
  <w:num w:numId="26">
    <w:abstractNumId w:val="15"/>
  </w:num>
  <w:num w:numId="27">
    <w:abstractNumId w:val="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0"/>
  </w:num>
  <w:num w:numId="33">
    <w:abstractNumId w:val="18"/>
  </w:num>
  <w:num w:numId="34">
    <w:abstractNumId w:val="28"/>
  </w:num>
  <w:num w:numId="35">
    <w:abstractNumId w:val="2"/>
  </w:num>
  <w:num w:numId="36">
    <w:abstractNumId w:val="1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E4"/>
    <w:rsid w:val="00005C45"/>
    <w:rsid w:val="000074FB"/>
    <w:rsid w:val="000102CD"/>
    <w:rsid w:val="00026746"/>
    <w:rsid w:val="0003301B"/>
    <w:rsid w:val="0004338F"/>
    <w:rsid w:val="000518B3"/>
    <w:rsid w:val="00086A9B"/>
    <w:rsid w:val="0008793E"/>
    <w:rsid w:val="000C6E5F"/>
    <w:rsid w:val="000C750E"/>
    <w:rsid w:val="000D04EF"/>
    <w:rsid w:val="000D50AB"/>
    <w:rsid w:val="00121180"/>
    <w:rsid w:val="00123177"/>
    <w:rsid w:val="001246B7"/>
    <w:rsid w:val="00126B83"/>
    <w:rsid w:val="001416FF"/>
    <w:rsid w:val="00177BF1"/>
    <w:rsid w:val="00180EAE"/>
    <w:rsid w:val="001A5899"/>
    <w:rsid w:val="001B3A2E"/>
    <w:rsid w:val="001D4D95"/>
    <w:rsid w:val="001D5658"/>
    <w:rsid w:val="001E02DA"/>
    <w:rsid w:val="00213230"/>
    <w:rsid w:val="002145E0"/>
    <w:rsid w:val="00255C6F"/>
    <w:rsid w:val="00267EFD"/>
    <w:rsid w:val="00273CA5"/>
    <w:rsid w:val="002B5FA1"/>
    <w:rsid w:val="002C7405"/>
    <w:rsid w:val="002D3696"/>
    <w:rsid w:val="002F03C9"/>
    <w:rsid w:val="002F6908"/>
    <w:rsid w:val="00335D37"/>
    <w:rsid w:val="00365BC1"/>
    <w:rsid w:val="003757CC"/>
    <w:rsid w:val="00386A44"/>
    <w:rsid w:val="003B49C6"/>
    <w:rsid w:val="003D3691"/>
    <w:rsid w:val="003F141B"/>
    <w:rsid w:val="0040007D"/>
    <w:rsid w:val="00425B10"/>
    <w:rsid w:val="00434822"/>
    <w:rsid w:val="0044290E"/>
    <w:rsid w:val="00443F8D"/>
    <w:rsid w:val="004506A2"/>
    <w:rsid w:val="00454B1F"/>
    <w:rsid w:val="00482198"/>
    <w:rsid w:val="00487335"/>
    <w:rsid w:val="004A2055"/>
    <w:rsid w:val="004D0FAC"/>
    <w:rsid w:val="004E0008"/>
    <w:rsid w:val="004E754C"/>
    <w:rsid w:val="004F38EF"/>
    <w:rsid w:val="00507087"/>
    <w:rsid w:val="005258B1"/>
    <w:rsid w:val="00537613"/>
    <w:rsid w:val="00541842"/>
    <w:rsid w:val="00564197"/>
    <w:rsid w:val="00571416"/>
    <w:rsid w:val="0058106D"/>
    <w:rsid w:val="00595203"/>
    <w:rsid w:val="00597EFD"/>
    <w:rsid w:val="005B2134"/>
    <w:rsid w:val="005D0BEC"/>
    <w:rsid w:val="006034C2"/>
    <w:rsid w:val="006612D6"/>
    <w:rsid w:val="00677D81"/>
    <w:rsid w:val="00690A5B"/>
    <w:rsid w:val="006A41F1"/>
    <w:rsid w:val="006F1ABB"/>
    <w:rsid w:val="0070024F"/>
    <w:rsid w:val="0070274F"/>
    <w:rsid w:val="007203D5"/>
    <w:rsid w:val="00723775"/>
    <w:rsid w:val="00725F13"/>
    <w:rsid w:val="00750903"/>
    <w:rsid w:val="007640B0"/>
    <w:rsid w:val="007713F7"/>
    <w:rsid w:val="00785ABD"/>
    <w:rsid w:val="007B1336"/>
    <w:rsid w:val="007C1C97"/>
    <w:rsid w:val="007D1E32"/>
    <w:rsid w:val="007D2484"/>
    <w:rsid w:val="007D2544"/>
    <w:rsid w:val="007E10BF"/>
    <w:rsid w:val="00815548"/>
    <w:rsid w:val="00816477"/>
    <w:rsid w:val="00816F20"/>
    <w:rsid w:val="00837BBD"/>
    <w:rsid w:val="00846D34"/>
    <w:rsid w:val="00847128"/>
    <w:rsid w:val="00847915"/>
    <w:rsid w:val="00897A77"/>
    <w:rsid w:val="008A282E"/>
    <w:rsid w:val="008C496F"/>
    <w:rsid w:val="008D02AE"/>
    <w:rsid w:val="008E62F6"/>
    <w:rsid w:val="009054AB"/>
    <w:rsid w:val="00935781"/>
    <w:rsid w:val="00942115"/>
    <w:rsid w:val="009524E4"/>
    <w:rsid w:val="0097418A"/>
    <w:rsid w:val="009A7DB3"/>
    <w:rsid w:val="00A21FEC"/>
    <w:rsid w:val="00A357F0"/>
    <w:rsid w:val="00A66EE3"/>
    <w:rsid w:val="00A83C93"/>
    <w:rsid w:val="00A97D09"/>
    <w:rsid w:val="00AA3238"/>
    <w:rsid w:val="00AA743E"/>
    <w:rsid w:val="00AB704F"/>
    <w:rsid w:val="00AC38B0"/>
    <w:rsid w:val="00AD7D92"/>
    <w:rsid w:val="00AF230C"/>
    <w:rsid w:val="00AF79A1"/>
    <w:rsid w:val="00B01923"/>
    <w:rsid w:val="00B31E09"/>
    <w:rsid w:val="00B631B0"/>
    <w:rsid w:val="00B65965"/>
    <w:rsid w:val="00B8720D"/>
    <w:rsid w:val="00BB2CE2"/>
    <w:rsid w:val="00BE2573"/>
    <w:rsid w:val="00C11B3D"/>
    <w:rsid w:val="00C4136F"/>
    <w:rsid w:val="00C6137C"/>
    <w:rsid w:val="00C7638C"/>
    <w:rsid w:val="00C933B8"/>
    <w:rsid w:val="00CA074A"/>
    <w:rsid w:val="00CA1D8E"/>
    <w:rsid w:val="00CC07AA"/>
    <w:rsid w:val="00CC6623"/>
    <w:rsid w:val="00D12452"/>
    <w:rsid w:val="00D16E4C"/>
    <w:rsid w:val="00D53C46"/>
    <w:rsid w:val="00D557C5"/>
    <w:rsid w:val="00D674A7"/>
    <w:rsid w:val="00E00D6D"/>
    <w:rsid w:val="00E07FC9"/>
    <w:rsid w:val="00E24F43"/>
    <w:rsid w:val="00E40F22"/>
    <w:rsid w:val="00E87772"/>
    <w:rsid w:val="00EB01C4"/>
    <w:rsid w:val="00EB2560"/>
    <w:rsid w:val="00EB5A56"/>
    <w:rsid w:val="00EB6956"/>
    <w:rsid w:val="00EC1095"/>
    <w:rsid w:val="00EE49FD"/>
    <w:rsid w:val="00F164C8"/>
    <w:rsid w:val="00F4169E"/>
    <w:rsid w:val="00F548F0"/>
    <w:rsid w:val="00F80F3D"/>
    <w:rsid w:val="00FA549B"/>
    <w:rsid w:val="00FE40A5"/>
    <w:rsid w:val="00FE4685"/>
    <w:rsid w:val="00FE4C35"/>
    <w:rsid w:val="00FF64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903"/>
    <w:pPr>
      <w:tabs>
        <w:tab w:val="center" w:pos="4153"/>
        <w:tab w:val="right" w:pos="8306"/>
      </w:tabs>
      <w:snapToGrid w:val="0"/>
    </w:pPr>
    <w:rPr>
      <w:sz w:val="20"/>
      <w:szCs w:val="20"/>
    </w:rPr>
  </w:style>
  <w:style w:type="character" w:customStyle="1" w:styleId="a4">
    <w:name w:val="頁首 字元"/>
    <w:basedOn w:val="a0"/>
    <w:link w:val="a3"/>
    <w:uiPriority w:val="99"/>
    <w:rsid w:val="00750903"/>
    <w:rPr>
      <w:sz w:val="20"/>
      <w:szCs w:val="20"/>
    </w:rPr>
  </w:style>
  <w:style w:type="paragraph" w:styleId="a5">
    <w:name w:val="footer"/>
    <w:basedOn w:val="a"/>
    <w:link w:val="a6"/>
    <w:uiPriority w:val="99"/>
    <w:unhideWhenUsed/>
    <w:rsid w:val="00750903"/>
    <w:pPr>
      <w:tabs>
        <w:tab w:val="center" w:pos="4153"/>
        <w:tab w:val="right" w:pos="8306"/>
      </w:tabs>
      <w:snapToGrid w:val="0"/>
    </w:pPr>
    <w:rPr>
      <w:sz w:val="20"/>
      <w:szCs w:val="20"/>
    </w:rPr>
  </w:style>
  <w:style w:type="character" w:customStyle="1" w:styleId="a6">
    <w:name w:val="頁尾 字元"/>
    <w:basedOn w:val="a0"/>
    <w:link w:val="a5"/>
    <w:uiPriority w:val="99"/>
    <w:rsid w:val="00750903"/>
    <w:rPr>
      <w:sz w:val="20"/>
      <w:szCs w:val="20"/>
    </w:rPr>
  </w:style>
  <w:style w:type="paragraph" w:styleId="a7">
    <w:name w:val="List Paragraph"/>
    <w:basedOn w:val="a"/>
    <w:uiPriority w:val="34"/>
    <w:qFormat/>
    <w:rsid w:val="00CA074A"/>
    <w:pPr>
      <w:ind w:leftChars="200" w:left="480"/>
    </w:pPr>
    <w:rPr>
      <w:rFonts w:ascii="Times New Roman" w:eastAsia="新細明體" w:hAnsi="Times New Roman" w:cs="Times New Roman"/>
      <w:szCs w:val="24"/>
    </w:rPr>
  </w:style>
  <w:style w:type="paragraph" w:customStyle="1" w:styleId="-2">
    <w:name w:val="內文縮排-2"/>
    <w:basedOn w:val="a8"/>
    <w:uiPriority w:val="99"/>
    <w:rsid w:val="00CC6623"/>
    <w:pPr>
      <w:spacing w:line="460" w:lineRule="exact"/>
      <w:ind w:leftChars="0" w:left="1078" w:hanging="284"/>
      <w:jc w:val="both"/>
    </w:pPr>
    <w:rPr>
      <w:rFonts w:ascii="標楷體" w:eastAsia="標楷體" w:hAnsi="Times New Roman" w:cs="Times New Roman"/>
      <w:sz w:val="28"/>
      <w:szCs w:val="20"/>
    </w:rPr>
  </w:style>
  <w:style w:type="paragraph" w:styleId="a8">
    <w:name w:val="Normal Indent"/>
    <w:basedOn w:val="a"/>
    <w:uiPriority w:val="99"/>
    <w:semiHidden/>
    <w:unhideWhenUsed/>
    <w:rsid w:val="00CC6623"/>
    <w:pPr>
      <w:ind w:leftChars="200" w:left="480"/>
    </w:pPr>
  </w:style>
  <w:style w:type="paragraph" w:styleId="a9">
    <w:name w:val="Balloon Text"/>
    <w:basedOn w:val="a"/>
    <w:link w:val="aa"/>
    <w:uiPriority w:val="99"/>
    <w:semiHidden/>
    <w:unhideWhenUsed/>
    <w:rsid w:val="00B0192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19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903"/>
    <w:pPr>
      <w:tabs>
        <w:tab w:val="center" w:pos="4153"/>
        <w:tab w:val="right" w:pos="8306"/>
      </w:tabs>
      <w:snapToGrid w:val="0"/>
    </w:pPr>
    <w:rPr>
      <w:sz w:val="20"/>
      <w:szCs w:val="20"/>
    </w:rPr>
  </w:style>
  <w:style w:type="character" w:customStyle="1" w:styleId="a4">
    <w:name w:val="頁首 字元"/>
    <w:basedOn w:val="a0"/>
    <w:link w:val="a3"/>
    <w:uiPriority w:val="99"/>
    <w:rsid w:val="00750903"/>
    <w:rPr>
      <w:sz w:val="20"/>
      <w:szCs w:val="20"/>
    </w:rPr>
  </w:style>
  <w:style w:type="paragraph" w:styleId="a5">
    <w:name w:val="footer"/>
    <w:basedOn w:val="a"/>
    <w:link w:val="a6"/>
    <w:uiPriority w:val="99"/>
    <w:unhideWhenUsed/>
    <w:rsid w:val="00750903"/>
    <w:pPr>
      <w:tabs>
        <w:tab w:val="center" w:pos="4153"/>
        <w:tab w:val="right" w:pos="8306"/>
      </w:tabs>
      <w:snapToGrid w:val="0"/>
    </w:pPr>
    <w:rPr>
      <w:sz w:val="20"/>
      <w:szCs w:val="20"/>
    </w:rPr>
  </w:style>
  <w:style w:type="character" w:customStyle="1" w:styleId="a6">
    <w:name w:val="頁尾 字元"/>
    <w:basedOn w:val="a0"/>
    <w:link w:val="a5"/>
    <w:uiPriority w:val="99"/>
    <w:rsid w:val="00750903"/>
    <w:rPr>
      <w:sz w:val="20"/>
      <w:szCs w:val="20"/>
    </w:rPr>
  </w:style>
  <w:style w:type="paragraph" w:styleId="a7">
    <w:name w:val="List Paragraph"/>
    <w:basedOn w:val="a"/>
    <w:uiPriority w:val="34"/>
    <w:qFormat/>
    <w:rsid w:val="00CA074A"/>
    <w:pPr>
      <w:ind w:leftChars="200" w:left="480"/>
    </w:pPr>
    <w:rPr>
      <w:rFonts w:ascii="Times New Roman" w:eastAsia="新細明體" w:hAnsi="Times New Roman" w:cs="Times New Roman"/>
      <w:szCs w:val="24"/>
    </w:rPr>
  </w:style>
  <w:style w:type="paragraph" w:customStyle="1" w:styleId="-2">
    <w:name w:val="內文縮排-2"/>
    <w:basedOn w:val="a8"/>
    <w:uiPriority w:val="99"/>
    <w:rsid w:val="00CC6623"/>
    <w:pPr>
      <w:spacing w:line="460" w:lineRule="exact"/>
      <w:ind w:leftChars="0" w:left="1078" w:hanging="284"/>
      <w:jc w:val="both"/>
    </w:pPr>
    <w:rPr>
      <w:rFonts w:ascii="標楷體" w:eastAsia="標楷體" w:hAnsi="Times New Roman" w:cs="Times New Roman"/>
      <w:sz w:val="28"/>
      <w:szCs w:val="20"/>
    </w:rPr>
  </w:style>
  <w:style w:type="paragraph" w:styleId="a8">
    <w:name w:val="Normal Indent"/>
    <w:basedOn w:val="a"/>
    <w:uiPriority w:val="99"/>
    <w:semiHidden/>
    <w:unhideWhenUsed/>
    <w:rsid w:val="00CC6623"/>
    <w:pPr>
      <w:ind w:leftChars="200" w:left="480"/>
    </w:pPr>
  </w:style>
  <w:style w:type="paragraph" w:styleId="a9">
    <w:name w:val="Balloon Text"/>
    <w:basedOn w:val="a"/>
    <w:link w:val="aa"/>
    <w:uiPriority w:val="99"/>
    <w:semiHidden/>
    <w:unhideWhenUsed/>
    <w:rsid w:val="00B0192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19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12</cp:revision>
  <cp:lastPrinted>2016-12-01T06:09:00Z</cp:lastPrinted>
  <dcterms:created xsi:type="dcterms:W3CDTF">2016-12-01T06:59:00Z</dcterms:created>
  <dcterms:modified xsi:type="dcterms:W3CDTF">2016-12-29T05:51:00Z</dcterms:modified>
</cp:coreProperties>
</file>