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76" w:rsidRPr="003A662E" w:rsidRDefault="00E95F12">
      <w:pPr>
        <w:pStyle w:val="2"/>
        <w:snapToGrid w:val="0"/>
        <w:spacing w:line="540" w:lineRule="exact"/>
        <w:ind w:left="142" w:firstLine="0"/>
        <w:jc w:val="left"/>
        <w:rPr>
          <w:rFonts w:ascii="標楷體" w:eastAsia="標楷體" w:hAnsi="標楷體"/>
        </w:rPr>
      </w:pPr>
      <w:r w:rsidRPr="003A662E">
        <w:rPr>
          <w:rFonts w:ascii="標楷體" w:eastAsia="標楷體" w:hAnsi="標楷體" w:cs="標楷體"/>
          <w:b/>
          <w:bCs/>
          <w:sz w:val="44"/>
          <w:szCs w:val="44"/>
        </w:rPr>
        <w:t>中央對直轄市及縣</w:t>
      </w:r>
      <w:r w:rsidRPr="003A662E">
        <w:rPr>
          <w:rFonts w:ascii="標楷體" w:eastAsia="標楷體" w:hAnsi="標楷體" w:cs="標楷體"/>
          <w:b/>
          <w:bCs/>
          <w:sz w:val="44"/>
          <w:szCs w:val="44"/>
        </w:rPr>
        <w:t>(</w:t>
      </w:r>
      <w:r w:rsidRPr="003A662E">
        <w:rPr>
          <w:rFonts w:ascii="標楷體" w:eastAsia="標楷體" w:hAnsi="標楷體" w:cs="標楷體"/>
          <w:b/>
          <w:bCs/>
          <w:sz w:val="44"/>
          <w:szCs w:val="44"/>
        </w:rPr>
        <w:t>市</w:t>
      </w:r>
      <w:r w:rsidRPr="003A662E">
        <w:rPr>
          <w:rFonts w:ascii="標楷體" w:eastAsia="標楷體" w:hAnsi="標楷體" w:cs="標楷體"/>
          <w:b/>
          <w:bCs/>
          <w:sz w:val="44"/>
          <w:szCs w:val="44"/>
        </w:rPr>
        <w:t>)</w:t>
      </w:r>
      <w:r w:rsidRPr="003A662E">
        <w:rPr>
          <w:rFonts w:ascii="標楷體" w:eastAsia="標楷體" w:hAnsi="標楷體" w:cs="標楷體"/>
          <w:b/>
          <w:bCs/>
          <w:sz w:val="44"/>
          <w:szCs w:val="44"/>
        </w:rPr>
        <w:t>政府聯合辦公大樓興建計畫補助處理原則</w:t>
      </w:r>
    </w:p>
    <w:p w:rsidR="00165376" w:rsidRPr="003A662E" w:rsidRDefault="00E95F12">
      <w:pPr>
        <w:pStyle w:val="2"/>
        <w:snapToGrid w:val="0"/>
        <w:spacing w:line="360" w:lineRule="exact"/>
        <w:ind w:left="728" w:right="200" w:hanging="728"/>
        <w:jc w:val="right"/>
        <w:rPr>
          <w:rFonts w:ascii="標楷體" w:eastAsia="標楷體" w:hAnsi="標楷體"/>
        </w:rPr>
      </w:pPr>
      <w:r w:rsidRPr="003A662E">
        <w:rPr>
          <w:rFonts w:ascii="標楷體" w:eastAsia="標楷體" w:hAnsi="標楷體" w:cs="標楷體"/>
          <w:bCs/>
          <w:sz w:val="20"/>
        </w:rPr>
        <w:t xml:space="preserve">    </w:t>
      </w:r>
      <w:r w:rsidRPr="003A662E">
        <w:rPr>
          <w:rFonts w:ascii="標楷體" w:eastAsia="標楷體" w:hAnsi="標楷體" w:cs="標楷體"/>
          <w:bCs/>
          <w:sz w:val="20"/>
        </w:rPr>
        <w:t>行政院</w:t>
      </w:r>
      <w:r w:rsidRPr="003A662E">
        <w:rPr>
          <w:rFonts w:ascii="標楷體" w:eastAsia="標楷體" w:hAnsi="標楷體" w:cs="標楷體"/>
          <w:bCs/>
          <w:sz w:val="20"/>
        </w:rPr>
        <w:t>93</w:t>
      </w:r>
      <w:r w:rsidRPr="003A662E">
        <w:rPr>
          <w:rFonts w:ascii="標楷體" w:eastAsia="標楷體" w:hAnsi="標楷體" w:cs="標楷體"/>
          <w:bCs/>
          <w:sz w:val="20"/>
        </w:rPr>
        <w:t>年</w:t>
      </w:r>
      <w:r w:rsidRPr="003A662E">
        <w:rPr>
          <w:rFonts w:ascii="標楷體" w:eastAsia="標楷體" w:hAnsi="標楷體" w:cs="標楷體"/>
          <w:bCs/>
          <w:sz w:val="20"/>
        </w:rPr>
        <w:t>12</w:t>
      </w:r>
      <w:r w:rsidRPr="003A662E">
        <w:rPr>
          <w:rFonts w:ascii="標楷體" w:eastAsia="標楷體" w:hAnsi="標楷體" w:cs="標楷體"/>
          <w:bCs/>
          <w:sz w:val="20"/>
        </w:rPr>
        <w:t>月</w:t>
      </w:r>
      <w:r w:rsidRPr="003A662E">
        <w:rPr>
          <w:rFonts w:ascii="標楷體" w:eastAsia="標楷體" w:hAnsi="標楷體" w:cs="標楷體"/>
          <w:bCs/>
          <w:sz w:val="20"/>
        </w:rPr>
        <w:t>23</w:t>
      </w:r>
      <w:r w:rsidRPr="003A662E">
        <w:rPr>
          <w:rFonts w:ascii="標楷體" w:eastAsia="標楷體" w:hAnsi="標楷體" w:cs="標楷體"/>
          <w:bCs/>
          <w:sz w:val="20"/>
        </w:rPr>
        <w:t>日院授主忠一字第</w:t>
      </w:r>
      <w:r w:rsidRPr="003A662E">
        <w:rPr>
          <w:rFonts w:ascii="標楷體" w:eastAsia="標楷體" w:hAnsi="標楷體" w:cs="標楷體"/>
          <w:bCs/>
          <w:sz w:val="20"/>
        </w:rPr>
        <w:t>0930008040</w:t>
      </w:r>
      <w:r w:rsidRPr="003A662E">
        <w:rPr>
          <w:rFonts w:ascii="標楷體" w:eastAsia="標楷體" w:hAnsi="標楷體" w:cs="標楷體"/>
          <w:bCs/>
          <w:sz w:val="20"/>
        </w:rPr>
        <w:t>號函核定</w:t>
      </w:r>
    </w:p>
    <w:p w:rsidR="00165376" w:rsidRPr="003A662E" w:rsidRDefault="00E95F12">
      <w:pPr>
        <w:pStyle w:val="2"/>
        <w:snapToGrid w:val="0"/>
        <w:spacing w:line="360" w:lineRule="exact"/>
        <w:ind w:left="728" w:right="200" w:hanging="728"/>
        <w:jc w:val="right"/>
        <w:rPr>
          <w:rFonts w:ascii="標楷體" w:eastAsia="標楷體" w:hAnsi="標楷體"/>
        </w:rPr>
      </w:pPr>
      <w:r w:rsidRPr="003A662E">
        <w:rPr>
          <w:rFonts w:ascii="標楷體" w:eastAsia="標楷體" w:hAnsi="標楷體" w:cs="標楷體"/>
          <w:bCs/>
          <w:sz w:val="20"/>
        </w:rPr>
        <w:t xml:space="preserve">             </w:t>
      </w:r>
      <w:r w:rsidRPr="003A662E">
        <w:rPr>
          <w:rFonts w:ascii="標楷體" w:eastAsia="標楷體" w:hAnsi="標楷體" w:cs="標楷體"/>
          <w:bCs/>
          <w:sz w:val="20"/>
        </w:rPr>
        <w:t>行政院</w:t>
      </w:r>
      <w:r w:rsidRPr="003A662E">
        <w:rPr>
          <w:rFonts w:ascii="標楷體" w:eastAsia="標楷體" w:hAnsi="標楷體" w:cs="標楷體"/>
          <w:bCs/>
          <w:sz w:val="20"/>
        </w:rPr>
        <w:t>96</w:t>
      </w:r>
      <w:r w:rsidRPr="003A662E">
        <w:rPr>
          <w:rFonts w:ascii="標楷體" w:eastAsia="標楷體" w:hAnsi="標楷體" w:cs="標楷體"/>
          <w:bCs/>
          <w:sz w:val="20"/>
        </w:rPr>
        <w:t>年</w:t>
      </w:r>
      <w:r w:rsidRPr="003A662E">
        <w:rPr>
          <w:rFonts w:ascii="標楷體" w:eastAsia="標楷體" w:hAnsi="標楷體" w:cs="標楷體"/>
          <w:bCs/>
          <w:sz w:val="20"/>
        </w:rPr>
        <w:t>4</w:t>
      </w:r>
      <w:r w:rsidRPr="003A662E">
        <w:rPr>
          <w:rFonts w:ascii="標楷體" w:eastAsia="標楷體" w:hAnsi="標楷體" w:cs="標楷體"/>
          <w:bCs/>
          <w:sz w:val="20"/>
        </w:rPr>
        <w:t>月</w:t>
      </w:r>
      <w:r w:rsidRPr="003A662E">
        <w:rPr>
          <w:rFonts w:ascii="標楷體" w:eastAsia="標楷體" w:hAnsi="標楷體" w:cs="標楷體"/>
          <w:bCs/>
          <w:sz w:val="20"/>
        </w:rPr>
        <w:t>23</w:t>
      </w:r>
      <w:r w:rsidRPr="003A662E">
        <w:rPr>
          <w:rFonts w:ascii="標楷體" w:eastAsia="標楷體" w:hAnsi="標楷體" w:cs="標楷體"/>
          <w:bCs/>
          <w:sz w:val="20"/>
        </w:rPr>
        <w:t>日院授主忠一字第</w:t>
      </w:r>
      <w:r w:rsidRPr="003A662E">
        <w:rPr>
          <w:rFonts w:ascii="標楷體" w:eastAsia="標楷體" w:hAnsi="標楷體" w:cs="標楷體"/>
          <w:bCs/>
          <w:sz w:val="20"/>
        </w:rPr>
        <w:t>0960002328</w:t>
      </w:r>
      <w:r w:rsidRPr="003A662E">
        <w:rPr>
          <w:rFonts w:ascii="標楷體" w:eastAsia="標楷體" w:hAnsi="標楷體" w:cs="標楷體"/>
          <w:bCs/>
          <w:sz w:val="20"/>
        </w:rPr>
        <w:t>號函修正</w:t>
      </w:r>
    </w:p>
    <w:p w:rsidR="00165376" w:rsidRPr="003A662E" w:rsidRDefault="00E95F12">
      <w:pPr>
        <w:pStyle w:val="2"/>
        <w:snapToGrid w:val="0"/>
        <w:spacing w:line="360" w:lineRule="exact"/>
        <w:ind w:left="728" w:right="200" w:hanging="728"/>
        <w:jc w:val="right"/>
        <w:rPr>
          <w:rFonts w:ascii="標楷體" w:eastAsia="標楷體" w:hAnsi="標楷體"/>
        </w:rPr>
      </w:pPr>
      <w:r w:rsidRPr="003A662E">
        <w:rPr>
          <w:rFonts w:ascii="標楷體" w:eastAsia="標楷體" w:hAnsi="標楷體" w:cs="標楷體"/>
          <w:bCs/>
          <w:sz w:val="20"/>
        </w:rPr>
        <w:t>行政院</w:t>
      </w:r>
      <w:r w:rsidRPr="003A662E">
        <w:rPr>
          <w:rFonts w:ascii="標楷體" w:eastAsia="標楷體" w:hAnsi="標楷體" w:cs="標楷體"/>
          <w:bCs/>
          <w:sz w:val="20"/>
        </w:rPr>
        <w:t>101</w:t>
      </w:r>
      <w:r w:rsidRPr="003A662E">
        <w:rPr>
          <w:rFonts w:ascii="標楷體" w:eastAsia="標楷體" w:hAnsi="標楷體" w:cs="標楷體"/>
          <w:bCs/>
          <w:sz w:val="20"/>
        </w:rPr>
        <w:t>年</w:t>
      </w:r>
      <w:r w:rsidRPr="003A662E">
        <w:rPr>
          <w:rFonts w:ascii="標楷體" w:eastAsia="標楷體" w:hAnsi="標楷體" w:cs="標楷體"/>
          <w:bCs/>
          <w:sz w:val="20"/>
        </w:rPr>
        <w:t>2</w:t>
      </w:r>
      <w:r w:rsidRPr="003A662E">
        <w:rPr>
          <w:rFonts w:ascii="標楷體" w:eastAsia="標楷體" w:hAnsi="標楷體" w:cs="標楷體"/>
          <w:bCs/>
          <w:sz w:val="20"/>
        </w:rPr>
        <w:t>月</w:t>
      </w:r>
      <w:r w:rsidRPr="003A662E">
        <w:rPr>
          <w:rFonts w:ascii="標楷體" w:eastAsia="標楷體" w:hAnsi="標楷體" w:cs="標楷體"/>
          <w:bCs/>
          <w:sz w:val="20"/>
        </w:rPr>
        <w:t>3</w:t>
      </w:r>
      <w:r w:rsidRPr="003A662E">
        <w:rPr>
          <w:rFonts w:ascii="標楷體" w:eastAsia="標楷體" w:hAnsi="標楷體" w:cs="標楷體"/>
          <w:bCs/>
          <w:sz w:val="20"/>
        </w:rPr>
        <w:t>日院授主忠一字第</w:t>
      </w:r>
      <w:r w:rsidRPr="003A662E">
        <w:rPr>
          <w:rFonts w:ascii="標楷體" w:eastAsia="標楷體" w:hAnsi="標楷體" w:cs="標楷體"/>
          <w:bCs/>
          <w:sz w:val="20"/>
        </w:rPr>
        <w:t>1010100113</w:t>
      </w:r>
      <w:r w:rsidRPr="003A662E">
        <w:rPr>
          <w:rFonts w:ascii="標楷體" w:eastAsia="標楷體" w:hAnsi="標楷體" w:cs="標楷體"/>
          <w:bCs/>
          <w:sz w:val="20"/>
        </w:rPr>
        <w:t>號函修正</w:t>
      </w:r>
    </w:p>
    <w:p w:rsidR="00165376" w:rsidRPr="003A662E" w:rsidRDefault="00E95F12">
      <w:pPr>
        <w:pStyle w:val="2"/>
        <w:snapToGrid w:val="0"/>
        <w:spacing w:line="360" w:lineRule="exact"/>
        <w:ind w:left="142" w:firstLine="0"/>
        <w:jc w:val="center"/>
        <w:rPr>
          <w:rFonts w:ascii="標楷體" w:eastAsia="標楷體" w:hAnsi="標楷體"/>
        </w:rPr>
      </w:pPr>
      <w:r w:rsidRPr="003A662E">
        <w:rPr>
          <w:rFonts w:ascii="標楷體" w:eastAsia="標楷體" w:hAnsi="標楷體" w:cs="標楷體"/>
          <w:bCs/>
          <w:sz w:val="20"/>
        </w:rPr>
        <w:t xml:space="preserve">                                   </w:t>
      </w:r>
      <w:r w:rsidRPr="003A662E">
        <w:rPr>
          <w:rFonts w:ascii="標楷體" w:eastAsia="標楷體" w:hAnsi="標楷體" w:cs="標楷體"/>
          <w:bCs/>
          <w:sz w:val="20"/>
        </w:rPr>
        <w:t>行政院</w:t>
      </w:r>
      <w:r w:rsidRPr="003A662E">
        <w:rPr>
          <w:rFonts w:ascii="標楷體" w:eastAsia="標楷體" w:hAnsi="標楷體" w:cs="標楷體"/>
          <w:bCs/>
          <w:sz w:val="20"/>
        </w:rPr>
        <w:t>101</w:t>
      </w:r>
      <w:r w:rsidRPr="003A662E">
        <w:rPr>
          <w:rFonts w:ascii="標楷體" w:eastAsia="標楷體" w:hAnsi="標楷體" w:cs="標楷體"/>
          <w:bCs/>
          <w:sz w:val="20"/>
        </w:rPr>
        <w:t>年</w:t>
      </w:r>
      <w:r w:rsidRPr="003A662E">
        <w:rPr>
          <w:rFonts w:ascii="標楷體" w:eastAsia="標楷體" w:hAnsi="標楷體" w:cs="標楷體"/>
          <w:bCs/>
          <w:sz w:val="20"/>
        </w:rPr>
        <w:t>9</w:t>
      </w:r>
      <w:r w:rsidRPr="003A662E">
        <w:rPr>
          <w:rFonts w:ascii="標楷體" w:eastAsia="標楷體" w:hAnsi="標楷體" w:cs="標楷體"/>
          <w:bCs/>
          <w:sz w:val="20"/>
        </w:rPr>
        <w:t>月</w:t>
      </w:r>
      <w:r w:rsidRPr="003A662E">
        <w:rPr>
          <w:rFonts w:ascii="標楷體" w:eastAsia="標楷體" w:hAnsi="標楷體" w:cs="標楷體"/>
          <w:bCs/>
          <w:sz w:val="20"/>
        </w:rPr>
        <w:t>13</w:t>
      </w:r>
      <w:r w:rsidRPr="003A662E">
        <w:rPr>
          <w:rFonts w:ascii="標楷體" w:eastAsia="標楷體" w:hAnsi="標楷體" w:cs="標楷體"/>
          <w:bCs/>
          <w:sz w:val="20"/>
        </w:rPr>
        <w:t>日院授主預彙字第</w:t>
      </w:r>
      <w:r w:rsidRPr="003A662E">
        <w:rPr>
          <w:rFonts w:ascii="標楷體" w:eastAsia="標楷體" w:hAnsi="標楷體" w:cs="標楷體"/>
          <w:bCs/>
          <w:sz w:val="20"/>
        </w:rPr>
        <w:t>1010101979</w:t>
      </w:r>
      <w:r w:rsidRPr="003A662E">
        <w:rPr>
          <w:rFonts w:ascii="標楷體" w:eastAsia="標楷體" w:hAnsi="標楷體" w:cs="標楷體"/>
          <w:bCs/>
          <w:sz w:val="20"/>
        </w:rPr>
        <w:t>號函修正</w:t>
      </w:r>
    </w:p>
    <w:p w:rsidR="00165376" w:rsidRPr="003A662E" w:rsidRDefault="00E95F12">
      <w:pPr>
        <w:pStyle w:val="2"/>
        <w:snapToGrid w:val="0"/>
        <w:spacing w:line="360" w:lineRule="exact"/>
        <w:ind w:left="142" w:firstLine="0"/>
        <w:jc w:val="center"/>
        <w:rPr>
          <w:rFonts w:ascii="標楷體" w:eastAsia="標楷體" w:hAnsi="標楷體"/>
        </w:rPr>
      </w:pPr>
      <w:r w:rsidRPr="003A662E">
        <w:rPr>
          <w:rFonts w:ascii="標楷體" w:eastAsia="標楷體" w:hAnsi="標楷體" w:cs="標楷體"/>
          <w:bCs/>
          <w:sz w:val="20"/>
        </w:rPr>
        <w:t xml:space="preserve">                                   </w:t>
      </w:r>
      <w:r w:rsidRPr="003A662E">
        <w:rPr>
          <w:rFonts w:ascii="標楷體" w:eastAsia="標楷體" w:hAnsi="標楷體" w:cs="標楷體"/>
          <w:bCs/>
          <w:sz w:val="20"/>
        </w:rPr>
        <w:t>行政院</w:t>
      </w:r>
      <w:r w:rsidRPr="003A662E">
        <w:rPr>
          <w:rFonts w:ascii="標楷體" w:eastAsia="標楷體" w:hAnsi="標楷體" w:cs="標楷體"/>
          <w:bCs/>
          <w:sz w:val="20"/>
        </w:rPr>
        <w:t>106</w:t>
      </w:r>
      <w:r w:rsidRPr="003A662E">
        <w:rPr>
          <w:rFonts w:ascii="標楷體" w:eastAsia="標楷體" w:hAnsi="標楷體" w:cs="標楷體"/>
          <w:bCs/>
          <w:sz w:val="20"/>
        </w:rPr>
        <w:t>年</w:t>
      </w:r>
      <w:r w:rsidRPr="003A662E">
        <w:rPr>
          <w:rFonts w:ascii="標楷體" w:eastAsia="標楷體" w:hAnsi="標楷體" w:cs="標楷體"/>
          <w:bCs/>
          <w:sz w:val="20"/>
        </w:rPr>
        <w:t>11</w:t>
      </w:r>
      <w:r w:rsidRPr="003A662E">
        <w:rPr>
          <w:rFonts w:ascii="標楷體" w:eastAsia="標楷體" w:hAnsi="標楷體" w:cs="標楷體"/>
          <w:bCs/>
          <w:sz w:val="20"/>
        </w:rPr>
        <w:t>月</w:t>
      </w:r>
      <w:r w:rsidRPr="003A662E">
        <w:rPr>
          <w:rFonts w:ascii="標楷體" w:eastAsia="標楷體" w:hAnsi="標楷體" w:cs="標楷體"/>
          <w:bCs/>
          <w:sz w:val="20"/>
        </w:rPr>
        <w:t>24</w:t>
      </w:r>
      <w:r w:rsidRPr="003A662E">
        <w:rPr>
          <w:rFonts w:ascii="標楷體" w:eastAsia="標楷體" w:hAnsi="標楷體" w:cs="標楷體"/>
          <w:bCs/>
          <w:sz w:val="20"/>
        </w:rPr>
        <w:t>日院授主預彙字第</w:t>
      </w:r>
      <w:r w:rsidRPr="003A662E">
        <w:rPr>
          <w:rFonts w:ascii="標楷體" w:eastAsia="標楷體" w:hAnsi="標楷體" w:cs="標楷體"/>
          <w:bCs/>
          <w:sz w:val="20"/>
        </w:rPr>
        <w:t>1060102742</w:t>
      </w:r>
      <w:r w:rsidRPr="003A662E">
        <w:rPr>
          <w:rFonts w:ascii="標楷體" w:eastAsia="標楷體" w:hAnsi="標楷體" w:cs="標楷體"/>
          <w:bCs/>
          <w:sz w:val="20"/>
        </w:rPr>
        <w:t>號函修正</w:t>
      </w:r>
    </w:p>
    <w:p w:rsidR="00165376" w:rsidRPr="003A662E" w:rsidRDefault="00E95F12">
      <w:pPr>
        <w:pStyle w:val="2"/>
        <w:snapToGrid w:val="0"/>
        <w:spacing w:line="360" w:lineRule="exact"/>
        <w:ind w:left="142" w:firstLine="0"/>
        <w:jc w:val="center"/>
        <w:rPr>
          <w:rFonts w:ascii="標楷體" w:eastAsia="標楷體" w:hAnsi="標楷體"/>
        </w:rPr>
      </w:pPr>
      <w:r w:rsidRPr="003A662E">
        <w:rPr>
          <w:rFonts w:ascii="標楷體" w:eastAsia="標楷體" w:hAnsi="標楷體" w:cs="標楷體"/>
          <w:sz w:val="20"/>
          <w:szCs w:val="44"/>
        </w:rPr>
        <w:t xml:space="preserve">                                    </w:t>
      </w:r>
      <w:r w:rsidRPr="003A662E">
        <w:rPr>
          <w:rFonts w:ascii="標楷體" w:eastAsia="標楷體" w:hAnsi="標楷體" w:cs="標楷體"/>
          <w:sz w:val="20"/>
          <w:szCs w:val="44"/>
        </w:rPr>
        <w:t>行政院</w:t>
      </w:r>
      <w:r w:rsidRPr="003A662E">
        <w:rPr>
          <w:rFonts w:ascii="標楷體" w:eastAsia="標楷體" w:hAnsi="標楷體" w:cs="標楷體"/>
          <w:sz w:val="20"/>
          <w:szCs w:val="44"/>
        </w:rPr>
        <w:t>110</w:t>
      </w:r>
      <w:r w:rsidRPr="003A662E">
        <w:rPr>
          <w:rFonts w:ascii="標楷體" w:eastAsia="標楷體" w:hAnsi="標楷體" w:cs="標楷體"/>
          <w:sz w:val="20"/>
          <w:szCs w:val="44"/>
        </w:rPr>
        <w:t>年</w:t>
      </w:r>
      <w:r w:rsidRPr="003A662E">
        <w:rPr>
          <w:rFonts w:ascii="標楷體" w:eastAsia="標楷體" w:hAnsi="標楷體" w:cs="標楷體"/>
          <w:sz w:val="20"/>
          <w:szCs w:val="44"/>
        </w:rPr>
        <w:t>1</w:t>
      </w:r>
      <w:r w:rsidRPr="003A662E">
        <w:rPr>
          <w:rFonts w:ascii="標楷體" w:eastAsia="標楷體" w:hAnsi="標楷體" w:cs="標楷體"/>
          <w:sz w:val="20"/>
          <w:szCs w:val="44"/>
        </w:rPr>
        <w:t>月</w:t>
      </w:r>
      <w:r w:rsidRPr="003A662E">
        <w:rPr>
          <w:rFonts w:ascii="標楷體" w:eastAsia="標楷體" w:hAnsi="標楷體" w:cs="標楷體"/>
          <w:sz w:val="20"/>
          <w:szCs w:val="44"/>
        </w:rPr>
        <w:t>11</w:t>
      </w:r>
      <w:r w:rsidRPr="003A662E">
        <w:rPr>
          <w:rFonts w:ascii="標楷體" w:eastAsia="標楷體" w:hAnsi="標楷體" w:cs="標楷體"/>
          <w:sz w:val="20"/>
          <w:szCs w:val="44"/>
        </w:rPr>
        <w:t>日院授主預彙字第</w:t>
      </w:r>
      <w:r w:rsidRPr="003A662E">
        <w:rPr>
          <w:rFonts w:ascii="標楷體" w:eastAsia="標楷體" w:hAnsi="標楷體" w:cs="標楷體"/>
          <w:sz w:val="20"/>
          <w:szCs w:val="44"/>
        </w:rPr>
        <w:t>1100050074</w:t>
      </w:r>
      <w:r w:rsidRPr="003A662E">
        <w:rPr>
          <w:rFonts w:ascii="標楷體" w:eastAsia="標楷體" w:hAnsi="標楷體" w:cs="標楷體"/>
          <w:sz w:val="20"/>
          <w:szCs w:val="44"/>
        </w:rPr>
        <w:t>號函修正</w:t>
      </w:r>
    </w:p>
    <w:p w:rsidR="003A662E" w:rsidRDefault="003A662E" w:rsidP="003A662E">
      <w:pPr>
        <w:pStyle w:val="2"/>
        <w:snapToGrid w:val="0"/>
        <w:spacing w:line="540" w:lineRule="exact"/>
        <w:ind w:left="767" w:hanging="767"/>
        <w:jc w:val="both"/>
        <w:rPr>
          <w:rFonts w:ascii="標楷體" w:eastAsia="標楷體" w:hAnsi="標楷體" w:cs="標楷體"/>
          <w:sz w:val="32"/>
          <w:szCs w:val="32"/>
        </w:rPr>
      </w:pPr>
    </w:p>
    <w:p w:rsidR="00165376" w:rsidRPr="003A662E" w:rsidRDefault="00E95F12" w:rsidP="003A662E">
      <w:pPr>
        <w:pStyle w:val="2"/>
        <w:snapToGrid w:val="0"/>
        <w:spacing w:line="540" w:lineRule="exact"/>
        <w:ind w:left="767" w:hanging="767"/>
        <w:jc w:val="both"/>
        <w:rPr>
          <w:rFonts w:ascii="標楷體" w:eastAsia="標楷體" w:hAnsi="標楷體" w:cs="標楷體"/>
          <w:sz w:val="32"/>
          <w:szCs w:val="32"/>
        </w:rPr>
      </w:pPr>
      <w:r w:rsidRPr="003A662E">
        <w:rPr>
          <w:rFonts w:ascii="標楷體" w:eastAsia="標楷體" w:hAnsi="標楷體" w:cs="標楷體"/>
          <w:sz w:val="32"/>
          <w:szCs w:val="32"/>
        </w:rPr>
        <w:t>一、直轄市及縣（市）政府為依「中央對直轄市及縣（市）政府補助辦法」第七條附表一規定，就其聯合辦公大樓興建計畫申請中央補助經費之案件，均依本處理原則辦理。</w:t>
      </w:r>
    </w:p>
    <w:p w:rsidR="00165376" w:rsidRPr="003A662E" w:rsidRDefault="00E95F12" w:rsidP="003A662E">
      <w:pPr>
        <w:pStyle w:val="2"/>
        <w:snapToGrid w:val="0"/>
        <w:spacing w:line="540" w:lineRule="exact"/>
        <w:ind w:left="765" w:hanging="763"/>
        <w:jc w:val="both"/>
        <w:rPr>
          <w:rFonts w:ascii="標楷體" w:eastAsia="標楷體" w:hAnsi="標楷體"/>
          <w:sz w:val="32"/>
          <w:szCs w:val="32"/>
        </w:rPr>
      </w:pPr>
      <w:r w:rsidRPr="003A662E">
        <w:rPr>
          <w:rFonts w:ascii="標楷體" w:eastAsia="標楷體" w:hAnsi="標楷體" w:cs="標楷體"/>
          <w:sz w:val="32"/>
          <w:szCs w:val="32"/>
        </w:rPr>
        <w:t>二、</w:t>
      </w:r>
      <w:r w:rsidRPr="003A662E">
        <w:rPr>
          <w:rFonts w:ascii="標楷體" w:eastAsia="標楷體" w:hAnsi="標楷體" w:cs="標楷體"/>
          <w:color w:val="000000"/>
          <w:sz w:val="32"/>
          <w:szCs w:val="32"/>
        </w:rPr>
        <w:t>本處理原則所稱聯合辦公大樓，指</w:t>
      </w: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縣（市）政府府內各單位與所屬機關合署辦公之廳舍及其必要之附屬建物，不包括</w:t>
      </w: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縣（市）議會。</w:t>
      </w:r>
    </w:p>
    <w:p w:rsidR="00165376" w:rsidRPr="003A662E" w:rsidRDefault="00E95F12" w:rsidP="003A662E">
      <w:pPr>
        <w:pStyle w:val="2"/>
        <w:snapToGrid w:val="0"/>
        <w:spacing w:line="540" w:lineRule="exact"/>
        <w:ind w:left="720" w:hanging="720"/>
        <w:jc w:val="both"/>
        <w:rPr>
          <w:rFonts w:ascii="標楷體" w:eastAsia="標楷體" w:hAnsi="標楷體"/>
          <w:sz w:val="32"/>
          <w:szCs w:val="32"/>
        </w:rPr>
      </w:pPr>
      <w:r w:rsidRPr="003A662E">
        <w:rPr>
          <w:rFonts w:ascii="標楷體" w:eastAsia="標楷體" w:hAnsi="標楷體" w:cs="標楷體"/>
          <w:sz w:val="32"/>
          <w:szCs w:val="32"/>
        </w:rPr>
        <w:t>三、直轄市及</w:t>
      </w:r>
      <w:r w:rsidRPr="003A662E">
        <w:rPr>
          <w:rFonts w:ascii="標楷體" w:eastAsia="標楷體" w:hAnsi="標楷體" w:cs="標楷體"/>
          <w:color w:val="000000"/>
          <w:sz w:val="32"/>
          <w:szCs w:val="32"/>
        </w:rPr>
        <w:t>縣（</w:t>
      </w:r>
      <w:r w:rsidRPr="003A662E">
        <w:rPr>
          <w:rFonts w:ascii="標楷體" w:eastAsia="標楷體" w:hAnsi="標楷體" w:cs="標楷體"/>
          <w:color w:val="000000"/>
          <w:sz w:val="32"/>
          <w:szCs w:val="32"/>
        </w:rPr>
        <w:t>市）政府現有辦公廳舍已逾使用年限</w:t>
      </w:r>
      <w:r w:rsidRPr="003A662E">
        <w:rPr>
          <w:rFonts w:ascii="標楷體" w:eastAsia="標楷體" w:hAnsi="標楷體" w:cs="新細明體;PMingLiU"/>
          <w:color w:val="000000"/>
          <w:sz w:val="32"/>
          <w:szCs w:val="32"/>
        </w:rPr>
        <w:t>、</w:t>
      </w:r>
      <w:r w:rsidRPr="003A662E">
        <w:rPr>
          <w:rFonts w:ascii="標楷體" w:eastAsia="標楷體" w:hAnsi="標楷體" w:cs="標楷體"/>
          <w:color w:val="000000"/>
          <w:sz w:val="32"/>
          <w:szCs w:val="32"/>
        </w:rPr>
        <w:t>經鑑定有安全疑慮或員工辦公面積不敷使用者</w:t>
      </w:r>
      <w:r w:rsidRPr="003A662E">
        <w:rPr>
          <w:rFonts w:ascii="標楷體" w:eastAsia="標楷體" w:hAnsi="標楷體" w:cs="新細明體;PMingLiU"/>
          <w:color w:val="000000"/>
          <w:sz w:val="32"/>
          <w:szCs w:val="32"/>
        </w:rPr>
        <w:t>，</w:t>
      </w:r>
      <w:r w:rsidRPr="003A662E">
        <w:rPr>
          <w:rFonts w:ascii="標楷體" w:eastAsia="標楷體" w:hAnsi="標楷體" w:cs="標楷體"/>
          <w:color w:val="000000"/>
          <w:sz w:val="32"/>
          <w:szCs w:val="32"/>
        </w:rPr>
        <w:t>得擬具聯合辦公大樓興建計畫，向內政部申請補助。</w:t>
      </w:r>
    </w:p>
    <w:p w:rsidR="00165376" w:rsidRPr="003A662E" w:rsidRDefault="00E95F12" w:rsidP="003A662E">
      <w:pPr>
        <w:pStyle w:val="2"/>
        <w:tabs>
          <w:tab w:val="left" w:pos="912"/>
        </w:tabs>
        <w:snapToGrid w:val="0"/>
        <w:spacing w:after="120" w:line="540" w:lineRule="exact"/>
        <w:ind w:left="709" w:hanging="822"/>
        <w:jc w:val="both"/>
        <w:rPr>
          <w:rFonts w:ascii="標楷體" w:eastAsia="標楷體" w:hAnsi="標楷體"/>
          <w:sz w:val="32"/>
          <w:szCs w:val="32"/>
        </w:rPr>
      </w:pPr>
      <w:r w:rsidRPr="003A662E">
        <w:rPr>
          <w:rFonts w:ascii="標楷體" w:eastAsia="標楷體" w:hAnsi="標楷體" w:cs="標楷體"/>
          <w:color w:val="000000"/>
          <w:sz w:val="32"/>
          <w:szCs w:val="32"/>
        </w:rPr>
        <w:t xml:space="preserve">     </w:t>
      </w:r>
      <w:r w:rsidRPr="003A662E">
        <w:rPr>
          <w:rFonts w:ascii="標楷體" w:eastAsia="標楷體" w:hAnsi="標楷體" w:cs="標楷體"/>
          <w:color w:val="000000"/>
          <w:sz w:val="32"/>
          <w:szCs w:val="32"/>
        </w:rPr>
        <w:t>直轄市及縣（市）政府聯合辦公大樓興建計畫應依「中</w:t>
      </w:r>
      <w:r w:rsidRPr="003A662E">
        <w:rPr>
          <w:rFonts w:ascii="標楷體" w:eastAsia="標楷體" w:hAnsi="標楷體" w:cs="標楷體"/>
          <w:color w:val="000000"/>
          <w:sz w:val="32"/>
          <w:szCs w:val="32"/>
        </w:rPr>
        <w:t>央政府總預算編製作業手冊」與「</w:t>
      </w:r>
      <w:r w:rsidRPr="003A662E">
        <w:rPr>
          <w:rFonts w:ascii="標楷體" w:eastAsia="標楷體" w:hAnsi="標楷體" w:cs="標楷體"/>
          <w:sz w:val="32"/>
          <w:szCs w:val="32"/>
          <w:lang w:eastAsia="zh-HK"/>
        </w:rPr>
        <w:t>行政院與所屬各機關辦公處所空間及</w:t>
      </w:r>
      <w:r w:rsidRPr="003A662E">
        <w:rPr>
          <w:rFonts w:ascii="標楷體" w:eastAsia="標楷體" w:hAnsi="標楷體" w:cs="標楷體"/>
          <w:sz w:val="32"/>
          <w:szCs w:val="32"/>
        </w:rPr>
        <w:t>面</w:t>
      </w:r>
      <w:r w:rsidRPr="003A662E">
        <w:rPr>
          <w:rFonts w:ascii="標楷體" w:eastAsia="標楷體" w:hAnsi="標楷體" w:cs="標楷體"/>
          <w:sz w:val="32"/>
          <w:szCs w:val="32"/>
          <w:lang w:eastAsia="zh-HK"/>
        </w:rPr>
        <w:t>積規劃原則</w:t>
      </w:r>
      <w:r w:rsidRPr="003A662E">
        <w:rPr>
          <w:rFonts w:ascii="標楷體" w:eastAsia="標楷體" w:hAnsi="標楷體" w:cs="標楷體"/>
          <w:color w:val="000000"/>
          <w:sz w:val="32"/>
          <w:szCs w:val="32"/>
        </w:rPr>
        <w:t>」有關辦公面積計算基準及</w:t>
      </w:r>
      <w:r w:rsidRPr="003A662E">
        <w:rPr>
          <w:rFonts w:ascii="標楷體" w:eastAsia="標楷體" w:hAnsi="標楷體" w:cs="標楷體"/>
          <w:sz w:val="32"/>
          <w:szCs w:val="32"/>
        </w:rPr>
        <w:t>「機關委託技術服務廠商評選及計費辦法」等規定辦理，並得朝多元目標使用空間及結合區域發展之方式作整體規劃設計。</w:t>
      </w:r>
    </w:p>
    <w:p w:rsidR="00165376" w:rsidRPr="003A662E" w:rsidRDefault="00E95F12" w:rsidP="003A662E">
      <w:pPr>
        <w:spacing w:line="540" w:lineRule="exact"/>
        <w:ind w:left="720" w:hanging="720"/>
        <w:jc w:val="both"/>
        <w:rPr>
          <w:rFonts w:ascii="標楷體" w:eastAsia="標楷體" w:hAnsi="標楷體"/>
          <w:sz w:val="32"/>
          <w:szCs w:val="32"/>
        </w:rPr>
      </w:pPr>
      <w:r w:rsidRPr="003A662E">
        <w:rPr>
          <w:rFonts w:ascii="標楷體" w:eastAsia="標楷體" w:hAnsi="標楷體" w:cs="標楷體"/>
          <w:sz w:val="32"/>
          <w:szCs w:val="32"/>
        </w:rPr>
        <w:t>四、直轄市及</w:t>
      </w:r>
      <w:r w:rsidRPr="003A662E">
        <w:rPr>
          <w:rFonts w:ascii="標楷體" w:eastAsia="標楷體" w:hAnsi="標楷體" w:cs="標楷體"/>
          <w:color w:val="000000"/>
          <w:sz w:val="32"/>
          <w:szCs w:val="32"/>
        </w:rPr>
        <w:t>縣（市）政府合於前點第一項各款規定向內政部提出申請補助時，應將興建計畫，連同現有辦公廳舍使用年限、使用現況及員工辦公面積配置情形等資料，一併函報內政部。</w:t>
      </w:r>
    </w:p>
    <w:p w:rsidR="00165376" w:rsidRPr="003A662E" w:rsidRDefault="00E95F12" w:rsidP="003A662E">
      <w:pPr>
        <w:pStyle w:val="2"/>
        <w:snapToGrid w:val="0"/>
        <w:spacing w:line="540" w:lineRule="exact"/>
        <w:ind w:left="720" w:hanging="720"/>
        <w:jc w:val="both"/>
        <w:rPr>
          <w:rFonts w:ascii="標楷體" w:eastAsia="標楷體" w:hAnsi="標楷體"/>
          <w:sz w:val="32"/>
          <w:szCs w:val="32"/>
        </w:rPr>
      </w:pPr>
      <w:r w:rsidRPr="003A662E">
        <w:rPr>
          <w:rFonts w:ascii="標楷體" w:eastAsia="標楷體" w:hAnsi="標楷體" w:cs="標楷體"/>
          <w:sz w:val="32"/>
          <w:szCs w:val="32"/>
        </w:rPr>
        <w:t>五、內政部</w:t>
      </w:r>
      <w:r w:rsidRPr="003A662E">
        <w:rPr>
          <w:rFonts w:ascii="標楷體" w:eastAsia="標楷體" w:hAnsi="標楷體" w:cs="標楷體"/>
          <w:color w:val="000000"/>
          <w:sz w:val="32"/>
          <w:szCs w:val="32"/>
        </w:rPr>
        <w:t>受理</w:t>
      </w: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縣（市）政府申請補助案件後，應會同行政院綜合業務處、行政院公共工程委員會、</w:t>
      </w:r>
      <w:r w:rsidRPr="003A662E">
        <w:rPr>
          <w:rFonts w:ascii="標楷體" w:eastAsia="標楷體" w:hAnsi="標楷體" w:cs="標楷體"/>
          <w:sz w:val="32"/>
          <w:szCs w:val="32"/>
        </w:rPr>
        <w:t>國家發展委員會、</w:t>
      </w:r>
      <w:r w:rsidRPr="003A662E">
        <w:rPr>
          <w:rFonts w:ascii="標楷體" w:eastAsia="標楷體" w:hAnsi="標楷體" w:cs="標楷體"/>
          <w:sz w:val="32"/>
          <w:szCs w:val="32"/>
        </w:rPr>
        <w:lastRenderedPageBreak/>
        <w:t>行政院主計總處及相關機關進行審</w:t>
      </w:r>
      <w:r w:rsidRPr="003A662E">
        <w:rPr>
          <w:rFonts w:ascii="標楷體" w:eastAsia="標楷體" w:hAnsi="標楷體" w:cs="標楷體"/>
          <w:color w:val="000000"/>
          <w:sz w:val="32"/>
          <w:szCs w:val="32"/>
        </w:rPr>
        <w:t>查，決定是否同意就其興建計畫予以補助，會同審查結果並應通知</w:t>
      </w: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縣（市）政府。</w:t>
      </w:r>
    </w:p>
    <w:p w:rsidR="00165376" w:rsidRPr="003A662E" w:rsidRDefault="00E95F12" w:rsidP="003A662E">
      <w:pPr>
        <w:pStyle w:val="2"/>
        <w:snapToGrid w:val="0"/>
        <w:spacing w:line="540" w:lineRule="exact"/>
        <w:ind w:left="720" w:hanging="720"/>
        <w:jc w:val="both"/>
        <w:rPr>
          <w:rFonts w:ascii="標楷體" w:eastAsia="標楷體" w:hAnsi="標楷體"/>
          <w:sz w:val="32"/>
          <w:szCs w:val="32"/>
        </w:rPr>
      </w:pPr>
      <w:bookmarkStart w:id="0" w:name="_GoBack"/>
      <w:bookmarkEnd w:id="0"/>
      <w:r w:rsidRPr="003A662E">
        <w:rPr>
          <w:rFonts w:ascii="標楷體" w:eastAsia="標楷體" w:hAnsi="標楷體" w:cs="標楷體"/>
          <w:sz w:val="32"/>
          <w:szCs w:val="32"/>
        </w:rPr>
        <w:t>六、內政部</w:t>
      </w:r>
      <w:r w:rsidRPr="003A662E">
        <w:rPr>
          <w:rFonts w:ascii="標楷體" w:eastAsia="標楷體" w:hAnsi="標楷體" w:cs="標楷體"/>
          <w:color w:val="000000"/>
          <w:sz w:val="32"/>
          <w:szCs w:val="32"/>
        </w:rPr>
        <w:t>經依前點規定原則同意就</w:t>
      </w: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縣（市）政府所提興建計畫給予補助時，應將會同審查機關之審查意見彙整函送該</w:t>
      </w: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縣（市）政府，</w:t>
      </w:r>
      <w:r w:rsidRPr="003A662E">
        <w:rPr>
          <w:rFonts w:ascii="標楷體" w:eastAsia="標楷體" w:hAnsi="標楷體" w:cs="標楷體"/>
          <w:color w:val="000000"/>
          <w:sz w:val="32"/>
          <w:szCs w:val="32"/>
        </w:rPr>
        <w:t>其中如有涉及計畫修正之審查意見，應請</w:t>
      </w: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縣（市）政府於一定期限內配合辦理修正。</w:t>
      </w: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縣（市）政府於修正完成後，應將修正計畫函送內政部進行複審。</w:t>
      </w:r>
    </w:p>
    <w:p w:rsidR="00165376" w:rsidRPr="003A662E" w:rsidRDefault="00E95F12" w:rsidP="003A662E">
      <w:pPr>
        <w:pStyle w:val="2"/>
        <w:snapToGrid w:val="0"/>
        <w:spacing w:line="540" w:lineRule="exact"/>
        <w:ind w:left="720" w:hanging="11"/>
        <w:jc w:val="both"/>
        <w:rPr>
          <w:rFonts w:ascii="標楷體" w:eastAsia="標楷體" w:hAnsi="標楷體"/>
          <w:sz w:val="32"/>
          <w:szCs w:val="32"/>
        </w:rPr>
      </w:pP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縣（市）政府如未於前項規定期限內完成修正計畫並函送內政部或修正計畫經內政部複審後未能審查通過者，內政部得取消對其補助。</w:t>
      </w:r>
    </w:p>
    <w:p w:rsidR="00165376" w:rsidRPr="003A662E" w:rsidRDefault="00E95F12" w:rsidP="003A662E">
      <w:pPr>
        <w:pStyle w:val="2"/>
        <w:snapToGrid w:val="0"/>
        <w:spacing w:line="540" w:lineRule="exact"/>
        <w:ind w:left="716" w:hanging="716"/>
        <w:jc w:val="both"/>
        <w:rPr>
          <w:rFonts w:ascii="標楷體" w:eastAsia="標楷體" w:hAnsi="標楷體"/>
          <w:sz w:val="32"/>
          <w:szCs w:val="32"/>
        </w:rPr>
      </w:pPr>
      <w:r w:rsidRPr="003A662E">
        <w:rPr>
          <w:rFonts w:ascii="標楷體" w:eastAsia="標楷體" w:hAnsi="標楷體" w:cs="標楷體"/>
          <w:sz w:val="32"/>
          <w:szCs w:val="32"/>
        </w:rPr>
        <w:t>七、直轄市及</w:t>
      </w:r>
      <w:r w:rsidRPr="003A662E">
        <w:rPr>
          <w:rFonts w:ascii="標楷體" w:eastAsia="標楷體" w:hAnsi="標楷體" w:cs="標楷體"/>
          <w:color w:val="000000"/>
          <w:sz w:val="32"/>
          <w:szCs w:val="32"/>
        </w:rPr>
        <w:t>縣（市）政府所提申請補助案件經內政部陳報行政院核定同意給予補助，且未有前點第二項所定情形者，應於接獲內政部通知後，開始辦理綜合規劃。</w:t>
      </w:r>
    </w:p>
    <w:p w:rsidR="00165376" w:rsidRPr="003A662E" w:rsidRDefault="00E95F12" w:rsidP="003A662E">
      <w:pPr>
        <w:pStyle w:val="2"/>
        <w:tabs>
          <w:tab w:val="left" w:pos="-1828"/>
        </w:tabs>
        <w:snapToGrid w:val="0"/>
        <w:spacing w:line="540" w:lineRule="exact"/>
        <w:ind w:left="720" w:hanging="11"/>
        <w:jc w:val="both"/>
        <w:rPr>
          <w:rFonts w:ascii="標楷體" w:eastAsia="標楷體" w:hAnsi="標楷體"/>
          <w:sz w:val="32"/>
          <w:szCs w:val="32"/>
        </w:rPr>
      </w:pPr>
      <w:r w:rsidRPr="003A662E">
        <w:rPr>
          <w:rFonts w:ascii="標楷體" w:eastAsia="標楷體" w:hAnsi="標楷體" w:cs="標楷體"/>
          <w:color w:val="000000"/>
          <w:sz w:val="32"/>
          <w:szCs w:val="32"/>
        </w:rPr>
        <w:t>前項綜合規劃完成後，</w:t>
      </w: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縣（市）政府應將規劃設計書圖及概算資料函送內政部，由內政部會</w:t>
      </w:r>
      <w:r w:rsidRPr="003A662E">
        <w:rPr>
          <w:rFonts w:ascii="標楷體" w:eastAsia="標楷體" w:hAnsi="標楷體" w:cs="標楷體"/>
          <w:color w:val="000000"/>
          <w:sz w:val="32"/>
          <w:szCs w:val="32"/>
        </w:rPr>
        <w:t>同行政院公共工程委員會審查後，核定計畫總經費。</w:t>
      </w:r>
    </w:p>
    <w:p w:rsidR="00165376" w:rsidRPr="003A662E" w:rsidRDefault="00E95F12" w:rsidP="003A662E">
      <w:pPr>
        <w:pStyle w:val="2"/>
        <w:snapToGrid w:val="0"/>
        <w:spacing w:line="540" w:lineRule="exact"/>
        <w:ind w:left="720" w:hanging="720"/>
        <w:jc w:val="both"/>
        <w:rPr>
          <w:rFonts w:ascii="標楷體" w:eastAsia="標楷體" w:hAnsi="標楷體"/>
          <w:sz w:val="32"/>
          <w:szCs w:val="32"/>
        </w:rPr>
      </w:pPr>
      <w:r w:rsidRPr="003A662E">
        <w:rPr>
          <w:rFonts w:ascii="標楷體" w:eastAsia="標楷體" w:hAnsi="標楷體" w:cs="標楷體"/>
          <w:sz w:val="32"/>
          <w:szCs w:val="32"/>
        </w:rPr>
        <w:t>八、直轄市及</w:t>
      </w:r>
      <w:r w:rsidRPr="003A662E">
        <w:rPr>
          <w:rFonts w:ascii="標楷體" w:eastAsia="標楷體" w:hAnsi="標楷體" w:cs="標楷體"/>
          <w:color w:val="000000"/>
          <w:sz w:val="32"/>
          <w:szCs w:val="32"/>
        </w:rPr>
        <w:t>縣（市）政府應於內政部核定之計畫總經費範圍內辦理發包作業，並於完成發包作業後，將工程合約及相關資料函送內政部。</w:t>
      </w:r>
    </w:p>
    <w:p w:rsidR="00165376" w:rsidRPr="003A662E" w:rsidRDefault="00E95F12" w:rsidP="003A662E">
      <w:pPr>
        <w:pStyle w:val="2"/>
        <w:snapToGrid w:val="0"/>
        <w:spacing w:line="540" w:lineRule="exact"/>
        <w:ind w:left="720" w:hanging="11"/>
        <w:jc w:val="both"/>
        <w:rPr>
          <w:rFonts w:ascii="標楷體" w:eastAsia="標楷體" w:hAnsi="標楷體"/>
          <w:sz w:val="32"/>
          <w:szCs w:val="32"/>
        </w:rPr>
      </w:pPr>
      <w:r w:rsidRPr="003A662E">
        <w:rPr>
          <w:rFonts w:ascii="標楷體" w:eastAsia="標楷體" w:hAnsi="標楷體" w:cs="標楷體"/>
          <w:color w:val="000000"/>
          <w:sz w:val="32"/>
          <w:szCs w:val="32"/>
        </w:rPr>
        <w:t>內政部應依</w:t>
      </w: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縣（市）政府實際發包金額，按「中央對直轄市及縣（市）政府補助辦法」第七條附表一規定之補助比率，核定中央補助金額。但</w:t>
      </w:r>
      <w:r w:rsidRPr="003A662E">
        <w:rPr>
          <w:rFonts w:ascii="標楷體" w:eastAsia="標楷體" w:hAnsi="標楷體" w:cs="標楷體"/>
          <w:sz w:val="32"/>
          <w:szCs w:val="32"/>
        </w:rPr>
        <w:t>直轄市及</w:t>
      </w:r>
      <w:r w:rsidRPr="003A662E">
        <w:rPr>
          <w:rFonts w:ascii="標楷體" w:eastAsia="標楷體" w:hAnsi="標楷體" w:cs="標楷體"/>
          <w:color w:val="000000"/>
          <w:sz w:val="32"/>
          <w:szCs w:val="32"/>
        </w:rPr>
        <w:t>縣（市）政府實際發包金額如超出內政部核定之計畫總經費時，以內政部核定之計畫總經費為限。</w:t>
      </w:r>
    </w:p>
    <w:p w:rsidR="00165376" w:rsidRPr="003A662E" w:rsidRDefault="00E95F12" w:rsidP="003A662E">
      <w:pPr>
        <w:pStyle w:val="2"/>
        <w:snapToGrid w:val="0"/>
        <w:spacing w:line="540" w:lineRule="exact"/>
        <w:ind w:left="720" w:hanging="11"/>
        <w:jc w:val="both"/>
        <w:rPr>
          <w:rFonts w:ascii="標楷體" w:eastAsia="標楷體" w:hAnsi="標楷體" w:cs="標楷體"/>
          <w:color w:val="000000"/>
          <w:sz w:val="32"/>
          <w:szCs w:val="32"/>
        </w:rPr>
      </w:pPr>
      <w:r w:rsidRPr="003A662E">
        <w:rPr>
          <w:rFonts w:ascii="標楷體" w:eastAsia="標楷體" w:hAnsi="標楷體" w:cs="標楷體"/>
          <w:color w:val="000000"/>
          <w:sz w:val="32"/>
          <w:szCs w:val="32"/>
        </w:rPr>
        <w:t>前項補助金額最高不得超過新臺幣十億元，其預算之編列及款</w:t>
      </w:r>
      <w:r w:rsidRPr="003A662E">
        <w:rPr>
          <w:rFonts w:ascii="標楷體" w:eastAsia="標楷體" w:hAnsi="標楷體" w:cs="標楷體"/>
          <w:color w:val="000000"/>
          <w:sz w:val="32"/>
          <w:szCs w:val="32"/>
        </w:rPr>
        <w:lastRenderedPageBreak/>
        <w:t>項之撥付，應由內政部依「中央對直轄市及縣（市）政府補助辦法</w:t>
      </w:r>
      <w:r w:rsidRPr="003A662E">
        <w:rPr>
          <w:rFonts w:ascii="標楷體" w:eastAsia="標楷體" w:hAnsi="標楷體" w:cs="標楷體"/>
          <w:color w:val="000000"/>
          <w:sz w:val="32"/>
          <w:szCs w:val="32"/>
        </w:rPr>
        <w:t>」第十八條第二項及第三項規定辦理。</w:t>
      </w:r>
    </w:p>
    <w:p w:rsidR="00165376" w:rsidRPr="003A662E" w:rsidRDefault="00E95F12" w:rsidP="003A662E">
      <w:pPr>
        <w:pStyle w:val="2"/>
        <w:snapToGrid w:val="0"/>
        <w:spacing w:line="540" w:lineRule="exact"/>
        <w:ind w:left="727" w:hanging="727"/>
        <w:jc w:val="both"/>
        <w:rPr>
          <w:rFonts w:ascii="標楷體" w:eastAsia="標楷體" w:hAnsi="標楷體"/>
          <w:sz w:val="32"/>
          <w:szCs w:val="32"/>
        </w:rPr>
      </w:pPr>
      <w:r w:rsidRPr="003A662E">
        <w:rPr>
          <w:rFonts w:ascii="標楷體" w:eastAsia="標楷體" w:hAnsi="標楷體" w:cs="標楷體"/>
          <w:sz w:val="32"/>
          <w:szCs w:val="32"/>
        </w:rPr>
        <w:t>九、</w:t>
      </w:r>
      <w:r w:rsidRPr="003A662E">
        <w:rPr>
          <w:rFonts w:ascii="標楷體" w:eastAsia="標楷體" w:hAnsi="標楷體" w:cs="標楷體"/>
          <w:color w:val="000000"/>
          <w:sz w:val="32"/>
          <w:szCs w:val="32"/>
        </w:rPr>
        <w:t>鄉（鎮、市）公所如符合第三點情形者，得依照本處理原則辦理，補助金額最高不得超過新臺幣一億元；其辦公廳舍之興建計畫，縣政府應先行初審，不包括鄉（鎮、市）民代表會。</w:t>
      </w:r>
    </w:p>
    <w:p w:rsidR="00165376" w:rsidRPr="003A662E" w:rsidRDefault="00E95F12" w:rsidP="003A662E">
      <w:pPr>
        <w:pStyle w:val="2"/>
        <w:snapToGrid w:val="0"/>
        <w:spacing w:after="120" w:line="540" w:lineRule="exact"/>
        <w:ind w:left="720" w:hanging="720"/>
        <w:jc w:val="both"/>
        <w:rPr>
          <w:rFonts w:ascii="標楷體" w:eastAsia="標楷體" w:hAnsi="標楷體"/>
          <w:sz w:val="32"/>
          <w:szCs w:val="32"/>
        </w:rPr>
      </w:pPr>
      <w:r w:rsidRPr="003A662E">
        <w:rPr>
          <w:rFonts w:ascii="標楷體" w:eastAsia="標楷體" w:hAnsi="標楷體"/>
          <w:sz w:val="32"/>
          <w:szCs w:val="32"/>
        </w:rPr>
        <w:t>十、本處理原則如有未盡事宜者，內政部得依實際執行需要另訂補充規定。</w:t>
      </w:r>
    </w:p>
    <w:sectPr w:rsidR="00165376" w:rsidRPr="003A662E">
      <w:footerReference w:type="default" r:id="rId6"/>
      <w:pgSz w:w="11906" w:h="16838"/>
      <w:pgMar w:top="1418" w:right="1247" w:bottom="1247" w:left="1247" w:header="0" w:footer="9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12" w:rsidRDefault="00E95F12">
      <w:r>
        <w:separator/>
      </w:r>
    </w:p>
  </w:endnote>
  <w:endnote w:type="continuationSeparator" w:id="0">
    <w:p w:rsidR="00E95F12" w:rsidRDefault="00E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40502020204"/>
    <w:charset w:val="00"/>
    <w:family w:val="swiss"/>
    <w:pitch w:val="variable"/>
    <w:sig w:usb0="8100AAF7" w:usb1="0000807B" w:usb2="00000008" w:usb3="00000000" w:csb0="0000009F"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 PMingLiU">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76" w:rsidRDefault="00E95F12">
    <w:pPr>
      <w:pStyle w:val="a9"/>
    </w:pPr>
    <w:r>
      <w:rPr>
        <w:noProof/>
      </w:rPr>
      <mc:AlternateContent>
        <mc:Choice Requires="wps">
          <w:drawing>
            <wp:anchor distT="0" distB="0" distL="0" distR="0" simplePos="0" relativeHeight="4" behindDoc="0" locked="0" layoutInCell="1" allowOverlap="1">
              <wp:simplePos x="0" y="0"/>
              <wp:positionH relativeFrom="margin">
                <wp:align>center</wp:align>
              </wp:positionH>
              <wp:positionV relativeFrom="paragraph">
                <wp:posOffset>635</wp:posOffset>
              </wp:positionV>
              <wp:extent cx="63500" cy="146050"/>
              <wp:effectExtent l="0" t="0" r="0" b="0"/>
              <wp:wrapSquare wrapText="largest"/>
              <wp:docPr id="1" name="外框1"/>
              <wp:cNvGraphicFramePr/>
              <a:graphic xmlns:a="http://schemas.openxmlformats.org/drawingml/2006/main">
                <a:graphicData uri="http://schemas.microsoft.com/office/word/2010/wordprocessingShape">
                  <wps:wsp>
                    <wps:cNvSpPr txBox="1"/>
                    <wps:spPr>
                      <a:xfrm>
                        <a:off x="0" y="0"/>
                        <a:ext cx="63500" cy="146050"/>
                      </a:xfrm>
                      <a:prstGeom prst="rect">
                        <a:avLst/>
                      </a:prstGeom>
                      <a:solidFill>
                        <a:srgbClr val="FFFFFF">
                          <a:alpha val="0"/>
                        </a:srgbClr>
                      </a:solidFill>
                    </wps:spPr>
                    <wps:txbx>
                      <w:txbxContent>
                        <w:p w:rsidR="00165376" w:rsidRDefault="00E95F12">
                          <w:pPr>
                            <w:pStyle w:val="a9"/>
                          </w:pPr>
                          <w:r>
                            <w:rPr>
                              <w:rStyle w:val="a3"/>
                            </w:rPr>
                            <w:fldChar w:fldCharType="begin"/>
                          </w:r>
                          <w:r>
                            <w:rPr>
                              <w:rStyle w:val="a3"/>
                            </w:rPr>
                            <w:instrText>PAGE</w:instrText>
                          </w:r>
                          <w:r>
                            <w:rPr>
                              <w:rStyle w:val="a3"/>
                            </w:rPr>
                            <w:fldChar w:fldCharType="separate"/>
                          </w:r>
                          <w:r w:rsidR="008A2081">
                            <w:rPr>
                              <w:rStyle w:val="a3"/>
                              <w:noProof/>
                            </w:rPr>
                            <w:t>3</w:t>
                          </w:r>
                          <w:r>
                            <w:rPr>
                              <w:rStyle w:val="a3"/>
                            </w:rPr>
                            <w:fldChar w:fldCharType="end"/>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pt;height:11.5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" stroked="f">
              <v:fill opacity="0"/>
              <v:textbox inset=".05pt,.05pt,.05pt,.05pt">
                <w:txbxContent>
                  <w:p w:rsidR="00165376" w:rsidRDefault="00E95F12">
                    <w:pPr>
                      <w:pStyle w:val="a9"/>
                    </w:pPr>
                    <w:r>
                      <w:rPr>
                        <w:rStyle w:val="a3"/>
                      </w:rPr>
                      <w:fldChar w:fldCharType="begin"/>
                    </w:r>
                    <w:r>
                      <w:rPr>
                        <w:rStyle w:val="a3"/>
                      </w:rPr>
                      <w:instrText>PAGE</w:instrText>
                    </w:r>
                    <w:r>
                      <w:rPr>
                        <w:rStyle w:val="a3"/>
                      </w:rPr>
                      <w:fldChar w:fldCharType="separate"/>
                    </w:r>
                    <w:r w:rsidR="008A2081">
                      <w:rPr>
                        <w:rStyle w:val="a3"/>
                        <w:noProof/>
                      </w:rPr>
                      <w:t>3</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12" w:rsidRDefault="00E95F12">
      <w:r>
        <w:separator/>
      </w:r>
    </w:p>
  </w:footnote>
  <w:footnote w:type="continuationSeparator" w:id="0">
    <w:p w:rsidR="00E95F12" w:rsidRDefault="00E95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76"/>
    <w:rsid w:val="00165376"/>
    <w:rsid w:val="003A662E"/>
    <w:rsid w:val="008A2081"/>
    <w:rsid w:val="00E95F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59FFC"/>
  <w15:docId w15:val="{B7881BEF-21ED-4085-BEB1-0E88637F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styleId="a3">
    <w:name w:val="page number"/>
    <w:basedOn w:val="a0"/>
  </w:style>
  <w:style w:type="character" w:customStyle="1" w:styleId="Y2r">
    <w:name w:val="¥»¤åÁY±Æ 2 ¦r¤¸"/>
    <w:basedOn w:val="a0"/>
    <w:qFormat/>
    <w:rPr>
      <w:rFonts w:ascii="Times New Roman" w:eastAsia="????, PMingLiU" w:hAnsi="Times New Roman" w:cs="Times New Roman"/>
      <w:sz w:val="20"/>
      <w:szCs w:val="20"/>
      <w:lang w:bidi="ar-SA"/>
    </w:rPr>
  </w:style>
  <w:style w:type="paragraph" w:styleId="a4">
    <w:name w:val="Title"/>
    <w:basedOn w:val="a"/>
    <w:next w:val="a5"/>
    <w:qFormat/>
    <w:pPr>
      <w:keepNext/>
      <w:spacing w:before="240" w:after="120"/>
    </w:pPr>
    <w:rPr>
      <w:rFonts w:ascii="Liberation Sans;Arial" w:eastAsia="微軟正黑體" w:hAnsi="Liberation Sans;Arial"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customStyle="1" w:styleId="a8">
    <w:name w:val="索引"/>
    <w:basedOn w:val="a"/>
    <w:qFormat/>
    <w:pPr>
      <w:suppressLineNumbers/>
    </w:pPr>
    <w:rPr>
      <w:rFonts w:cs="Lucida Sans"/>
    </w:rPr>
  </w:style>
  <w:style w:type="paragraph" w:styleId="2">
    <w:name w:val="Body Text Indent 2"/>
    <w:basedOn w:val="a"/>
    <w:qFormat/>
    <w:pPr>
      <w:ind w:left="277" w:hanging="277"/>
      <w:jc w:val="distribute"/>
    </w:pPr>
    <w:rPr>
      <w:rFonts w:eastAsia="????, PMingLiU"/>
      <w:szCs w:val="20"/>
    </w:rPr>
  </w:style>
  <w:style w:type="paragraph" w:styleId="a9">
    <w:name w:val="footer"/>
    <w:basedOn w:val="a"/>
    <w:pPr>
      <w:tabs>
        <w:tab w:val="center" w:pos="4153"/>
        <w:tab w:val="right" w:pos="8306"/>
      </w:tabs>
      <w:snapToGrid w:val="0"/>
    </w:pPr>
    <w:rPr>
      <w:sz w:val="20"/>
      <w:szCs w:val="20"/>
    </w:rPr>
  </w:style>
  <w:style w:type="paragraph" w:styleId="aa">
    <w:name w:val="Balloon Text"/>
    <w:basedOn w:val="a"/>
    <w:qFormat/>
    <w:rPr>
      <w:rFonts w:ascii="Arial" w:hAnsi="Arial" w:cs="Arial"/>
      <w:sz w:val="18"/>
      <w:szCs w:val="18"/>
    </w:rPr>
  </w:style>
  <w:style w:type="paragraph" w:customStyle="1" w:styleId="ab">
    <w:name w:val="外框內容"/>
    <w:basedOn w:val="a"/>
    <w:qFormat/>
  </w:style>
  <w:style w:type="paragraph" w:customStyle="1" w:styleId="DocumentMap">
    <w:name w:val="DocumentMap"/>
    <w:qFormat/>
    <w:pPr>
      <w:widowControl w:val="0"/>
      <w:suppressAutoHyphens/>
      <w:textAlignment w:val="baseline"/>
    </w:pPr>
    <w:rPr>
      <w:rFonts w:cs="Liberation Serif"/>
      <w:kern w:val="2"/>
      <w:sz w:val="24"/>
    </w:rPr>
  </w:style>
  <w:style w:type="paragraph" w:styleId="ac">
    <w:name w:val="header"/>
    <w:basedOn w:val="a"/>
    <w:link w:val="ad"/>
    <w:uiPriority w:val="99"/>
    <w:unhideWhenUsed/>
    <w:rsid w:val="003A662E"/>
    <w:pPr>
      <w:tabs>
        <w:tab w:val="center" w:pos="4153"/>
        <w:tab w:val="right" w:pos="8306"/>
      </w:tabs>
      <w:snapToGrid w:val="0"/>
    </w:pPr>
    <w:rPr>
      <w:sz w:val="20"/>
      <w:szCs w:val="20"/>
    </w:rPr>
  </w:style>
  <w:style w:type="character" w:customStyle="1" w:styleId="ad">
    <w:name w:val="頁首 字元"/>
    <w:basedOn w:val="a0"/>
    <w:link w:val="ac"/>
    <w:uiPriority w:val="99"/>
    <w:rsid w:val="003A662E"/>
    <w:rPr>
      <w:rFonts w:ascii="Times New Roman" w:eastAsia="新細明體;PMingLiU" w:hAnsi="Times New Roman" w:cs="Times New Roman"/>
      <w:kern w:val="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中央對各縣(市)政府聯合辦公大樓興建計畫補助處理原則</dc:title>
  <dc:subject/>
  <dc:creator>q09</dc:creator>
  <dc:description/>
  <cp:lastModifiedBy>陳玉玫</cp:lastModifiedBy>
  <cp:revision>2</cp:revision>
  <cp:lastPrinted>1995-11-21T17:41:00Z</cp:lastPrinted>
  <dcterms:created xsi:type="dcterms:W3CDTF">2021-01-11T07:00:00Z</dcterms:created>
  <dcterms:modified xsi:type="dcterms:W3CDTF">2021-01-11T07:00:00Z</dcterms:modified>
  <dc:language>zh-TW</dc:language>
</cp:coreProperties>
</file>